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0550" w14:textId="77777777" w:rsidR="00E12F36" w:rsidRPr="00F17126" w:rsidRDefault="0055569C" w:rsidP="009C477E">
      <w:pPr>
        <w:spacing w:after="0" w:line="360" w:lineRule="auto"/>
        <w:jc w:val="center"/>
        <w:rPr>
          <w:rFonts w:ascii="Times New Roman" w:hAnsi="Times New Roman" w:cs="Times New Roman"/>
          <w:b/>
          <w:sz w:val="24"/>
          <w:szCs w:val="24"/>
          <w:lang w:val="en-US"/>
        </w:rPr>
      </w:pPr>
      <w:r w:rsidRPr="00F17126">
        <w:rPr>
          <w:rFonts w:ascii="Times New Roman" w:hAnsi="Times New Roman" w:cs="Times New Roman"/>
          <w:b/>
          <w:sz w:val="24"/>
          <w:szCs w:val="24"/>
          <w:lang w:val="en-US"/>
        </w:rPr>
        <w:t>Institutional and Environmental Effectiveness:</w:t>
      </w:r>
    </w:p>
    <w:p w14:paraId="3BB9A7D4" w14:textId="77777777" w:rsidR="0055569C" w:rsidRPr="00F17126" w:rsidRDefault="00E12F36" w:rsidP="009C477E">
      <w:pPr>
        <w:spacing w:after="120" w:line="360" w:lineRule="auto"/>
        <w:jc w:val="center"/>
        <w:rPr>
          <w:rFonts w:ascii="Times New Roman" w:hAnsi="Times New Roman" w:cs="Times New Roman"/>
          <w:b/>
          <w:sz w:val="24"/>
          <w:szCs w:val="24"/>
          <w:lang w:val="en-US"/>
        </w:rPr>
      </w:pPr>
      <w:r w:rsidRPr="00F17126">
        <w:rPr>
          <w:rFonts w:ascii="Times New Roman" w:hAnsi="Times New Roman" w:cs="Times New Roman"/>
          <w:b/>
          <w:sz w:val="24"/>
          <w:szCs w:val="24"/>
          <w:lang w:val="en-US"/>
        </w:rPr>
        <w:t>Will</w:t>
      </w:r>
      <w:r w:rsidR="0055569C" w:rsidRPr="00F17126">
        <w:rPr>
          <w:rFonts w:ascii="Times New Roman" w:hAnsi="Times New Roman" w:cs="Times New Roman"/>
          <w:b/>
          <w:sz w:val="24"/>
          <w:szCs w:val="24"/>
          <w:lang w:val="en-US"/>
        </w:rPr>
        <w:t xml:space="preserve"> the Paris Agreement Work</w:t>
      </w:r>
      <w:r w:rsidRPr="00F17126">
        <w:rPr>
          <w:rFonts w:ascii="Times New Roman" w:hAnsi="Times New Roman" w:cs="Times New Roman"/>
          <w:b/>
          <w:sz w:val="24"/>
          <w:szCs w:val="24"/>
          <w:lang w:val="en-US"/>
        </w:rPr>
        <w:t>?</w:t>
      </w:r>
    </w:p>
    <w:p w14:paraId="25A1825B" w14:textId="77777777" w:rsidR="0055569C" w:rsidRPr="00F17126" w:rsidRDefault="0055569C" w:rsidP="009C477E">
      <w:pPr>
        <w:spacing w:after="120" w:line="360" w:lineRule="auto"/>
        <w:rPr>
          <w:rFonts w:ascii="Times New Roman" w:hAnsi="Times New Roman" w:cs="Times New Roman"/>
          <w:sz w:val="24"/>
          <w:szCs w:val="24"/>
          <w:lang w:val="en-US"/>
        </w:rPr>
      </w:pPr>
      <w:bookmarkStart w:id="0" w:name="_GoBack"/>
      <w:bookmarkEnd w:id="0"/>
    </w:p>
    <w:p w14:paraId="4012AAE9" w14:textId="77777777" w:rsidR="003431CC" w:rsidRPr="00F17126" w:rsidRDefault="003431CC" w:rsidP="009C477E">
      <w:pPr>
        <w:spacing w:after="120"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t>1. Introduction</w:t>
      </w:r>
    </w:p>
    <w:p w14:paraId="27337BEC" w14:textId="1770E8EA" w:rsidR="00015B6B" w:rsidRPr="00F17126" w:rsidRDefault="00971435"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Following</w:t>
      </w:r>
      <w:r w:rsidR="008A3DEF" w:rsidRPr="00F17126">
        <w:rPr>
          <w:rFonts w:ascii="Times New Roman" w:hAnsi="Times New Roman" w:cs="Times New Roman"/>
          <w:sz w:val="24"/>
          <w:szCs w:val="24"/>
          <w:lang w:val="en-US"/>
        </w:rPr>
        <w:t xml:space="preserve"> decades of </w:t>
      </w:r>
      <w:r w:rsidR="00E12F36" w:rsidRPr="00F17126">
        <w:rPr>
          <w:rFonts w:ascii="Times New Roman" w:hAnsi="Times New Roman" w:cs="Times New Roman"/>
          <w:sz w:val="24"/>
          <w:szCs w:val="24"/>
          <w:lang w:val="en-US"/>
        </w:rPr>
        <w:t>very</w:t>
      </w:r>
      <w:r w:rsidR="000049EB"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modest</w:t>
      </w:r>
      <w:r w:rsidR="008A3DEF" w:rsidRPr="00F17126">
        <w:rPr>
          <w:rFonts w:ascii="Times New Roman" w:hAnsi="Times New Roman" w:cs="Times New Roman"/>
          <w:sz w:val="24"/>
          <w:szCs w:val="24"/>
          <w:lang w:val="en-US"/>
        </w:rPr>
        <w:t xml:space="preserve"> progress in </w:t>
      </w:r>
      <w:r w:rsidR="00644EC6" w:rsidRPr="00F17126">
        <w:rPr>
          <w:rFonts w:ascii="Times New Roman" w:hAnsi="Times New Roman" w:cs="Times New Roman"/>
          <w:sz w:val="24"/>
          <w:szCs w:val="24"/>
          <w:lang w:val="en-US"/>
        </w:rPr>
        <w:t xml:space="preserve">international </w:t>
      </w:r>
      <w:r w:rsidR="008A3DEF" w:rsidRPr="00F17126">
        <w:rPr>
          <w:rFonts w:ascii="Times New Roman" w:hAnsi="Times New Roman" w:cs="Times New Roman"/>
          <w:sz w:val="24"/>
          <w:szCs w:val="24"/>
          <w:lang w:val="en-US"/>
        </w:rPr>
        <w:t xml:space="preserve">negotiations, the </w:t>
      </w:r>
      <w:r w:rsidR="00F53A8B" w:rsidRPr="00F17126">
        <w:rPr>
          <w:rFonts w:ascii="Times New Roman" w:hAnsi="Times New Roman" w:cs="Times New Roman"/>
          <w:sz w:val="24"/>
          <w:szCs w:val="24"/>
          <w:lang w:val="en-US"/>
        </w:rPr>
        <w:t xml:space="preserve">2015 Paris </w:t>
      </w:r>
      <w:r w:rsidR="000114FA" w:rsidRPr="00F17126">
        <w:rPr>
          <w:rFonts w:ascii="Times New Roman" w:hAnsi="Times New Roman" w:cs="Times New Roman"/>
          <w:sz w:val="24"/>
          <w:szCs w:val="24"/>
          <w:lang w:val="en-US"/>
        </w:rPr>
        <w:t>A</w:t>
      </w:r>
      <w:r w:rsidR="008A3DEF" w:rsidRPr="00F17126">
        <w:rPr>
          <w:rFonts w:ascii="Times New Roman" w:hAnsi="Times New Roman" w:cs="Times New Roman"/>
          <w:sz w:val="24"/>
          <w:szCs w:val="24"/>
          <w:lang w:val="en-US"/>
        </w:rPr>
        <w:t xml:space="preserve">greement </w:t>
      </w:r>
      <w:r w:rsidR="00644EC6" w:rsidRPr="00F17126">
        <w:rPr>
          <w:rFonts w:ascii="Times New Roman" w:hAnsi="Times New Roman" w:cs="Times New Roman"/>
          <w:sz w:val="24"/>
          <w:szCs w:val="24"/>
          <w:lang w:val="en-US"/>
        </w:rPr>
        <w:t xml:space="preserve">on Climate Change </w:t>
      </w:r>
      <w:r w:rsidR="000114FA" w:rsidRPr="00F17126">
        <w:rPr>
          <w:rFonts w:ascii="Times New Roman" w:hAnsi="Times New Roman" w:cs="Times New Roman"/>
          <w:sz w:val="24"/>
          <w:szCs w:val="24"/>
          <w:lang w:val="en-US"/>
        </w:rPr>
        <w:t>(PA)</w:t>
      </w:r>
      <w:r w:rsidR="00FC11B4">
        <w:rPr>
          <w:rFonts w:ascii="Times New Roman" w:hAnsi="Times New Roman" w:cs="Times New Roman"/>
          <w:sz w:val="24"/>
          <w:szCs w:val="24"/>
          <w:lang w:val="en-US"/>
        </w:rPr>
        <w:t xml:space="preserve"> (UNFCCC, 2015)</w:t>
      </w:r>
      <w:r w:rsidR="000114FA" w:rsidRPr="00F17126">
        <w:rPr>
          <w:rFonts w:ascii="Times New Roman" w:hAnsi="Times New Roman" w:cs="Times New Roman"/>
          <w:sz w:val="24"/>
          <w:szCs w:val="24"/>
          <w:lang w:val="en-US"/>
        </w:rPr>
        <w:t xml:space="preserve"> </w:t>
      </w:r>
      <w:r w:rsidR="008A3DEF" w:rsidRPr="00F17126">
        <w:rPr>
          <w:rFonts w:ascii="Times New Roman" w:hAnsi="Times New Roman" w:cs="Times New Roman"/>
          <w:sz w:val="24"/>
          <w:szCs w:val="24"/>
          <w:lang w:val="en-US"/>
        </w:rPr>
        <w:t xml:space="preserve">was hailed </w:t>
      </w:r>
      <w:r w:rsidRPr="00F17126">
        <w:rPr>
          <w:rFonts w:ascii="Times New Roman" w:hAnsi="Times New Roman" w:cs="Times New Roman"/>
          <w:sz w:val="24"/>
          <w:szCs w:val="24"/>
          <w:lang w:val="en-US"/>
        </w:rPr>
        <w:t xml:space="preserve">worldwide </w:t>
      </w:r>
      <w:r w:rsidR="008A3DEF" w:rsidRPr="00F17126">
        <w:rPr>
          <w:rFonts w:ascii="Times New Roman" w:hAnsi="Times New Roman" w:cs="Times New Roman"/>
          <w:sz w:val="24"/>
          <w:szCs w:val="24"/>
          <w:lang w:val="en-US"/>
        </w:rPr>
        <w:t xml:space="preserve">as a </w:t>
      </w:r>
      <w:r w:rsidR="000049EB" w:rsidRPr="00F17126">
        <w:rPr>
          <w:rFonts w:ascii="Times New Roman" w:hAnsi="Times New Roman" w:cs="Times New Roman"/>
          <w:sz w:val="24"/>
          <w:szCs w:val="24"/>
          <w:lang w:val="en-US"/>
        </w:rPr>
        <w:t xml:space="preserve">breakthrough </w:t>
      </w:r>
      <w:r w:rsidR="00644EC6" w:rsidRPr="00F17126">
        <w:rPr>
          <w:rFonts w:ascii="Times New Roman" w:hAnsi="Times New Roman" w:cs="Times New Roman"/>
          <w:sz w:val="24"/>
          <w:szCs w:val="24"/>
          <w:lang w:val="en-US"/>
        </w:rPr>
        <w:t>in climate diplomacy</w:t>
      </w:r>
      <w:r w:rsidR="008A3DEF" w:rsidRPr="00F17126">
        <w:rPr>
          <w:rFonts w:ascii="Times New Roman" w:hAnsi="Times New Roman" w:cs="Times New Roman"/>
          <w:sz w:val="24"/>
          <w:szCs w:val="24"/>
          <w:lang w:val="en-US"/>
        </w:rPr>
        <w:t xml:space="preserve">. </w:t>
      </w:r>
      <w:r w:rsidR="00607182" w:rsidRPr="00F17126">
        <w:rPr>
          <w:rFonts w:ascii="Times New Roman" w:hAnsi="Times New Roman" w:cs="Times New Roman"/>
          <w:sz w:val="24"/>
          <w:szCs w:val="24"/>
          <w:lang w:val="en-US"/>
        </w:rPr>
        <w:t>Being t</w:t>
      </w:r>
      <w:r w:rsidR="00D10808" w:rsidRPr="00F17126">
        <w:rPr>
          <w:rFonts w:ascii="Times New Roman" w:hAnsi="Times New Roman" w:cs="Times New Roman"/>
          <w:sz w:val="24"/>
          <w:szCs w:val="24"/>
          <w:lang w:val="en-US"/>
        </w:rPr>
        <w:t xml:space="preserve">he first global climate </w:t>
      </w:r>
      <w:r w:rsidR="00644EC6" w:rsidRPr="00F17126">
        <w:rPr>
          <w:rFonts w:ascii="Times New Roman" w:hAnsi="Times New Roman" w:cs="Times New Roman"/>
          <w:sz w:val="24"/>
          <w:szCs w:val="24"/>
          <w:lang w:val="en-US"/>
        </w:rPr>
        <w:t xml:space="preserve">agreement that </w:t>
      </w:r>
      <w:r w:rsidR="001167D2" w:rsidRPr="00F17126">
        <w:rPr>
          <w:rFonts w:ascii="Times New Roman" w:hAnsi="Times New Roman" w:cs="Times New Roman"/>
          <w:sz w:val="24"/>
          <w:szCs w:val="24"/>
          <w:lang w:val="en-US"/>
        </w:rPr>
        <w:t>bridges the North</w:t>
      </w:r>
      <w:r w:rsidR="006F4C7E">
        <w:rPr>
          <w:rFonts w:ascii="Times New Roman" w:hAnsi="Times New Roman" w:cs="Times New Roman"/>
          <w:sz w:val="24"/>
          <w:szCs w:val="24"/>
          <w:lang w:val="en-US"/>
        </w:rPr>
        <w:t>–</w:t>
      </w:r>
      <w:r w:rsidR="001167D2" w:rsidRPr="00F17126">
        <w:rPr>
          <w:rFonts w:ascii="Times New Roman" w:hAnsi="Times New Roman" w:cs="Times New Roman"/>
          <w:sz w:val="24"/>
          <w:szCs w:val="24"/>
          <w:lang w:val="en-US"/>
        </w:rPr>
        <w:t>South divide</w:t>
      </w:r>
      <w:r w:rsidR="00CC6914" w:rsidRPr="00F17126">
        <w:rPr>
          <w:rFonts w:ascii="Times New Roman" w:hAnsi="Times New Roman" w:cs="Times New Roman"/>
          <w:sz w:val="24"/>
          <w:szCs w:val="24"/>
          <w:lang w:val="en-US"/>
        </w:rPr>
        <w:t xml:space="preserve">, the PA </w:t>
      </w:r>
      <w:r w:rsidR="00644EC6" w:rsidRPr="00F17126">
        <w:rPr>
          <w:rFonts w:ascii="Times New Roman" w:hAnsi="Times New Roman" w:cs="Times New Roman"/>
          <w:sz w:val="24"/>
          <w:szCs w:val="24"/>
          <w:lang w:val="en-US"/>
        </w:rPr>
        <w:t xml:space="preserve">imposes policy obligations on all countries. </w:t>
      </w:r>
      <w:r w:rsidR="00F47063" w:rsidRPr="00F17126">
        <w:rPr>
          <w:rFonts w:ascii="Times New Roman" w:hAnsi="Times New Roman" w:cs="Times New Roman"/>
          <w:sz w:val="24"/>
          <w:szCs w:val="24"/>
          <w:lang w:val="en-US"/>
        </w:rPr>
        <w:t xml:space="preserve">Comprehensive in its thematic scope, it </w:t>
      </w:r>
      <w:r w:rsidR="00644EC6" w:rsidRPr="00F17126">
        <w:rPr>
          <w:rFonts w:ascii="Times New Roman" w:hAnsi="Times New Roman" w:cs="Times New Roman"/>
          <w:sz w:val="24"/>
          <w:szCs w:val="24"/>
          <w:lang w:val="en-US"/>
        </w:rPr>
        <w:t xml:space="preserve">contains </w:t>
      </w:r>
      <w:r w:rsidR="00F47063" w:rsidRPr="00F17126">
        <w:rPr>
          <w:rFonts w:ascii="Times New Roman" w:hAnsi="Times New Roman" w:cs="Times New Roman"/>
          <w:sz w:val="24"/>
          <w:szCs w:val="24"/>
          <w:lang w:val="en-US"/>
        </w:rPr>
        <w:t>legal provisions on</w:t>
      </w:r>
      <w:r w:rsidR="00F53A8B" w:rsidRPr="00F17126">
        <w:rPr>
          <w:rFonts w:ascii="Times New Roman" w:hAnsi="Times New Roman" w:cs="Times New Roman"/>
          <w:sz w:val="24"/>
          <w:szCs w:val="24"/>
          <w:lang w:val="en-US"/>
        </w:rPr>
        <w:t xml:space="preserve"> climate mitigation and emission reductions, climate adaptation policy, international </w:t>
      </w:r>
      <w:r w:rsidR="00CC6914" w:rsidRPr="00F17126">
        <w:rPr>
          <w:rFonts w:ascii="Times New Roman" w:hAnsi="Times New Roman" w:cs="Times New Roman"/>
          <w:sz w:val="24"/>
          <w:szCs w:val="24"/>
          <w:lang w:val="en-US"/>
        </w:rPr>
        <w:t>climate</w:t>
      </w:r>
      <w:r w:rsidR="00F53A8B" w:rsidRPr="00F17126">
        <w:rPr>
          <w:rFonts w:ascii="Times New Roman" w:hAnsi="Times New Roman" w:cs="Times New Roman"/>
          <w:sz w:val="24"/>
          <w:szCs w:val="24"/>
          <w:lang w:val="en-US"/>
        </w:rPr>
        <w:t xml:space="preserve"> finance, reporting and transparency, and cooperative mechanisms such as technology transfer. </w:t>
      </w:r>
    </w:p>
    <w:p w14:paraId="7D25C6F3" w14:textId="1B32F039" w:rsidR="00E564D5" w:rsidRPr="00F17126" w:rsidRDefault="00015B6B" w:rsidP="009C477E">
      <w:pPr>
        <w:spacing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ab/>
      </w:r>
      <w:r w:rsidR="00644EC6" w:rsidRPr="00F17126">
        <w:rPr>
          <w:rFonts w:ascii="Times New Roman" w:hAnsi="Times New Roman" w:cs="Times New Roman"/>
          <w:sz w:val="24"/>
          <w:szCs w:val="24"/>
          <w:lang w:val="en-US"/>
        </w:rPr>
        <w:t xml:space="preserve">How significant is </w:t>
      </w:r>
      <w:r w:rsidR="00571086" w:rsidRPr="00F17126">
        <w:rPr>
          <w:rFonts w:ascii="Times New Roman" w:hAnsi="Times New Roman" w:cs="Times New Roman"/>
          <w:sz w:val="24"/>
          <w:szCs w:val="24"/>
          <w:lang w:val="en-US"/>
        </w:rPr>
        <w:t xml:space="preserve">the </w:t>
      </w:r>
      <w:r w:rsidR="00820E85" w:rsidRPr="00F17126">
        <w:rPr>
          <w:rFonts w:ascii="Times New Roman" w:hAnsi="Times New Roman" w:cs="Times New Roman"/>
          <w:sz w:val="24"/>
          <w:szCs w:val="24"/>
          <w:lang w:val="en-US"/>
        </w:rPr>
        <w:t>PA</w:t>
      </w:r>
      <w:r w:rsidR="00644EC6" w:rsidRPr="00F17126">
        <w:rPr>
          <w:rFonts w:ascii="Times New Roman" w:hAnsi="Times New Roman" w:cs="Times New Roman"/>
          <w:sz w:val="24"/>
          <w:szCs w:val="24"/>
          <w:lang w:val="en-US"/>
        </w:rPr>
        <w:t>?</w:t>
      </w:r>
      <w:r w:rsidR="00F525C8" w:rsidRPr="00F525C8">
        <w:rPr>
          <w:rStyle w:val="FootnoteReference"/>
          <w:rFonts w:ascii="Times New Roman" w:hAnsi="Times New Roman" w:cs="Times New Roman"/>
          <w:sz w:val="24"/>
          <w:szCs w:val="24"/>
        </w:rPr>
        <w:t xml:space="preserve"> </w:t>
      </w:r>
      <w:r w:rsidR="00F525C8">
        <w:rPr>
          <w:rStyle w:val="FootnoteReference"/>
          <w:rFonts w:ascii="Times New Roman" w:hAnsi="Times New Roman" w:cs="Times New Roman"/>
          <w:sz w:val="24"/>
          <w:szCs w:val="24"/>
        </w:rPr>
        <w:footnoteReference w:id="1"/>
      </w:r>
      <w:r w:rsidR="00644EC6"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Analyzing </w:t>
      </w:r>
      <w:r w:rsidR="00F47063" w:rsidRPr="00F17126">
        <w:rPr>
          <w:rFonts w:ascii="Times New Roman" w:hAnsi="Times New Roman" w:cs="Times New Roman"/>
          <w:sz w:val="24"/>
          <w:szCs w:val="24"/>
          <w:lang w:val="en-US"/>
        </w:rPr>
        <w:t xml:space="preserve">its </w:t>
      </w:r>
      <w:r w:rsidR="00571086" w:rsidRPr="00F17126">
        <w:rPr>
          <w:rFonts w:ascii="Times New Roman" w:hAnsi="Times New Roman" w:cs="Times New Roman"/>
          <w:sz w:val="24"/>
          <w:szCs w:val="24"/>
          <w:lang w:val="en-US"/>
        </w:rPr>
        <w:t>importance</w:t>
      </w:r>
      <w:r w:rsidRPr="00F17126">
        <w:rPr>
          <w:rFonts w:ascii="Times New Roman" w:hAnsi="Times New Roman" w:cs="Times New Roman"/>
          <w:sz w:val="24"/>
          <w:szCs w:val="24"/>
          <w:lang w:val="en-US"/>
        </w:rPr>
        <w:t xml:space="preserve"> </w:t>
      </w:r>
      <w:r w:rsidR="00E564D5" w:rsidRPr="00F17126">
        <w:rPr>
          <w:rFonts w:ascii="Times New Roman" w:hAnsi="Times New Roman" w:cs="Times New Roman"/>
          <w:sz w:val="24"/>
          <w:szCs w:val="24"/>
          <w:lang w:val="en-US"/>
        </w:rPr>
        <w:t xml:space="preserve">for global climate governance </w:t>
      </w:r>
      <w:r w:rsidRPr="00F17126">
        <w:rPr>
          <w:rFonts w:ascii="Times New Roman" w:hAnsi="Times New Roman" w:cs="Times New Roman"/>
          <w:sz w:val="24"/>
          <w:szCs w:val="24"/>
          <w:lang w:val="en-US"/>
        </w:rPr>
        <w:t xml:space="preserve">is complicated </w:t>
      </w:r>
      <w:r w:rsidR="00CC6914" w:rsidRPr="00F17126">
        <w:rPr>
          <w:rFonts w:ascii="Times New Roman" w:hAnsi="Times New Roman" w:cs="Times New Roman"/>
          <w:sz w:val="24"/>
          <w:szCs w:val="24"/>
          <w:lang w:val="en-US"/>
        </w:rPr>
        <w:t>for</w:t>
      </w:r>
      <w:r w:rsidRPr="00F17126">
        <w:rPr>
          <w:rFonts w:ascii="Times New Roman" w:hAnsi="Times New Roman" w:cs="Times New Roman"/>
          <w:sz w:val="24"/>
          <w:szCs w:val="24"/>
          <w:lang w:val="en-US"/>
        </w:rPr>
        <w:t xml:space="preserve"> several </w:t>
      </w:r>
      <w:r w:rsidR="00CC6914" w:rsidRPr="00F17126">
        <w:rPr>
          <w:rFonts w:ascii="Times New Roman" w:hAnsi="Times New Roman" w:cs="Times New Roman"/>
          <w:sz w:val="24"/>
          <w:szCs w:val="24"/>
          <w:lang w:val="en-US"/>
        </w:rPr>
        <w:t>reason</w:t>
      </w:r>
      <w:r w:rsidRPr="00F17126">
        <w:rPr>
          <w:rFonts w:ascii="Times New Roman" w:hAnsi="Times New Roman" w:cs="Times New Roman"/>
          <w:sz w:val="24"/>
          <w:szCs w:val="24"/>
          <w:lang w:val="en-US"/>
        </w:rPr>
        <w:t xml:space="preserve">s. First, </w:t>
      </w:r>
      <w:r w:rsidR="00644EC6" w:rsidRPr="00F17126">
        <w:rPr>
          <w:rFonts w:ascii="Times New Roman" w:hAnsi="Times New Roman" w:cs="Times New Roman"/>
          <w:sz w:val="24"/>
          <w:szCs w:val="24"/>
          <w:lang w:val="en-US"/>
        </w:rPr>
        <w:t xml:space="preserve">the PA </w:t>
      </w:r>
      <w:r w:rsidRPr="00F17126">
        <w:rPr>
          <w:rFonts w:ascii="Times New Roman" w:hAnsi="Times New Roman" w:cs="Times New Roman"/>
          <w:sz w:val="24"/>
          <w:szCs w:val="24"/>
          <w:lang w:val="en-US"/>
        </w:rPr>
        <w:t>is characterized by remarkable complexity</w:t>
      </w:r>
      <w:r w:rsidR="00644EC6" w:rsidRPr="00F17126">
        <w:rPr>
          <w:rFonts w:ascii="Times New Roman" w:hAnsi="Times New Roman" w:cs="Times New Roman"/>
          <w:sz w:val="24"/>
          <w:szCs w:val="24"/>
          <w:lang w:val="en-US"/>
        </w:rPr>
        <w:t xml:space="preserve"> and does not follow </w:t>
      </w:r>
      <w:r w:rsidRPr="00F17126">
        <w:rPr>
          <w:rFonts w:ascii="Times New Roman" w:hAnsi="Times New Roman" w:cs="Times New Roman"/>
          <w:sz w:val="24"/>
          <w:szCs w:val="24"/>
          <w:lang w:val="en-US"/>
        </w:rPr>
        <w:t xml:space="preserve">the traditional model of international law. </w:t>
      </w:r>
      <w:r w:rsidR="00CC6914" w:rsidRPr="00F17126">
        <w:rPr>
          <w:rFonts w:ascii="Times New Roman" w:hAnsi="Times New Roman" w:cs="Times New Roman"/>
          <w:sz w:val="24"/>
          <w:szCs w:val="24"/>
          <w:lang w:val="en-US"/>
        </w:rPr>
        <w:t>Although</w:t>
      </w:r>
      <w:r w:rsidR="00F47063" w:rsidRPr="00F17126">
        <w:rPr>
          <w:rFonts w:ascii="Times New Roman" w:hAnsi="Times New Roman" w:cs="Times New Roman"/>
          <w:sz w:val="24"/>
          <w:szCs w:val="24"/>
          <w:lang w:val="en-US"/>
        </w:rPr>
        <w:t xml:space="preserve"> </w:t>
      </w:r>
      <w:r w:rsidR="00644EC6" w:rsidRPr="00F17126">
        <w:rPr>
          <w:rFonts w:ascii="Times New Roman" w:hAnsi="Times New Roman" w:cs="Times New Roman"/>
          <w:sz w:val="24"/>
          <w:szCs w:val="24"/>
          <w:lang w:val="en-US"/>
        </w:rPr>
        <w:t>legally binding</w:t>
      </w:r>
      <w:r w:rsidR="00CC6914" w:rsidRPr="00F17126">
        <w:rPr>
          <w:rFonts w:ascii="Times New Roman" w:hAnsi="Times New Roman" w:cs="Times New Roman"/>
          <w:sz w:val="24"/>
          <w:szCs w:val="24"/>
          <w:lang w:val="en-US"/>
        </w:rPr>
        <w:t>, it</w:t>
      </w:r>
      <w:r w:rsidR="00644EC6" w:rsidRPr="00F17126">
        <w:rPr>
          <w:rFonts w:ascii="Times New Roman" w:hAnsi="Times New Roman" w:cs="Times New Roman"/>
          <w:sz w:val="24"/>
          <w:szCs w:val="24"/>
          <w:lang w:val="en-US"/>
        </w:rPr>
        <w:t xml:space="preserve"> </w:t>
      </w:r>
      <w:r w:rsidR="00CC6914" w:rsidRPr="00F17126">
        <w:rPr>
          <w:rFonts w:ascii="Times New Roman" w:hAnsi="Times New Roman" w:cs="Times New Roman"/>
          <w:sz w:val="24"/>
          <w:szCs w:val="24"/>
          <w:lang w:val="en-US"/>
        </w:rPr>
        <w:t>contains</w:t>
      </w:r>
      <w:r w:rsidR="00644EC6" w:rsidRPr="00F17126">
        <w:rPr>
          <w:rFonts w:ascii="Times New Roman" w:hAnsi="Times New Roman" w:cs="Times New Roman"/>
          <w:sz w:val="24"/>
          <w:szCs w:val="24"/>
          <w:lang w:val="en-US"/>
        </w:rPr>
        <w:t xml:space="preserve"> a mixture of mandatory and laissez-faire provisions (Bodansky</w:t>
      </w:r>
      <w:r w:rsidR="00C93881" w:rsidRPr="00F17126">
        <w:rPr>
          <w:rFonts w:ascii="Times New Roman" w:hAnsi="Times New Roman" w:cs="Times New Roman"/>
          <w:sz w:val="24"/>
          <w:szCs w:val="24"/>
          <w:lang w:val="en-US"/>
        </w:rPr>
        <w:t>,</w:t>
      </w:r>
      <w:r w:rsidR="00644EC6" w:rsidRPr="00F17126">
        <w:rPr>
          <w:rFonts w:ascii="Times New Roman" w:hAnsi="Times New Roman" w:cs="Times New Roman"/>
          <w:sz w:val="24"/>
          <w:szCs w:val="24"/>
          <w:lang w:val="en-US"/>
        </w:rPr>
        <w:t xml:space="preserve"> 2016). </w:t>
      </w:r>
      <w:r w:rsidR="00E564D5" w:rsidRPr="00F17126">
        <w:rPr>
          <w:rFonts w:ascii="Times New Roman" w:hAnsi="Times New Roman" w:cs="Times New Roman"/>
          <w:sz w:val="24"/>
          <w:szCs w:val="24"/>
          <w:lang w:val="en-US"/>
        </w:rPr>
        <w:t xml:space="preserve">The </w:t>
      </w:r>
      <w:r w:rsidR="00CC6914" w:rsidRPr="00F17126">
        <w:rPr>
          <w:rFonts w:ascii="Times New Roman" w:hAnsi="Times New Roman" w:cs="Times New Roman"/>
          <w:sz w:val="24"/>
          <w:szCs w:val="24"/>
          <w:lang w:val="en-US"/>
        </w:rPr>
        <w:t>agreement is therefore</w:t>
      </w:r>
      <w:r w:rsidR="00E564D5" w:rsidRPr="00F17126">
        <w:rPr>
          <w:rFonts w:ascii="Times New Roman" w:hAnsi="Times New Roman" w:cs="Times New Roman"/>
          <w:sz w:val="24"/>
          <w:szCs w:val="24"/>
          <w:lang w:val="en-US"/>
        </w:rPr>
        <w:t xml:space="preserve"> ambiguous and open to interpretation. </w:t>
      </w:r>
      <w:r w:rsidRPr="00F17126">
        <w:rPr>
          <w:rFonts w:ascii="Times New Roman" w:hAnsi="Times New Roman" w:cs="Times New Roman"/>
          <w:sz w:val="24"/>
          <w:szCs w:val="24"/>
          <w:lang w:val="en-US"/>
        </w:rPr>
        <w:t xml:space="preserve">Second, </w:t>
      </w:r>
      <w:r w:rsidR="0053415B">
        <w:rPr>
          <w:rFonts w:ascii="Times New Roman" w:hAnsi="Times New Roman" w:cs="Times New Roman"/>
          <w:sz w:val="24"/>
          <w:szCs w:val="24"/>
          <w:lang w:val="en-US"/>
        </w:rPr>
        <w:t>it</w:t>
      </w:r>
      <w:r w:rsidRPr="00F17126">
        <w:rPr>
          <w:rFonts w:ascii="Times New Roman" w:hAnsi="Times New Roman" w:cs="Times New Roman"/>
          <w:sz w:val="24"/>
          <w:szCs w:val="24"/>
          <w:lang w:val="en-US"/>
        </w:rPr>
        <w:t xml:space="preserve"> is designed to evolve over the medium</w:t>
      </w:r>
      <w:r w:rsidR="008F7F61">
        <w:rPr>
          <w:rFonts w:ascii="Times New Roman" w:hAnsi="Times New Roman" w:cs="Times New Roman"/>
          <w:sz w:val="24"/>
          <w:szCs w:val="24"/>
          <w:lang w:val="en-US"/>
        </w:rPr>
        <w:t>-</w:t>
      </w:r>
      <w:r w:rsidR="001068AF" w:rsidRPr="00F17126">
        <w:rPr>
          <w:rFonts w:ascii="Times New Roman" w:hAnsi="Times New Roman" w:cs="Times New Roman"/>
          <w:sz w:val="24"/>
          <w:szCs w:val="24"/>
          <w:lang w:val="en-US"/>
        </w:rPr>
        <w:t xml:space="preserve"> to</w:t>
      </w:r>
      <w:r w:rsidRPr="00F17126">
        <w:rPr>
          <w:rFonts w:ascii="Times New Roman" w:hAnsi="Times New Roman" w:cs="Times New Roman"/>
          <w:sz w:val="24"/>
          <w:szCs w:val="24"/>
          <w:lang w:val="en-US"/>
        </w:rPr>
        <w:t xml:space="preserve"> long-term future</w:t>
      </w:r>
      <w:r w:rsidR="00E564D5" w:rsidRPr="00F17126">
        <w:rPr>
          <w:rFonts w:ascii="Times New Roman" w:hAnsi="Times New Roman" w:cs="Times New Roman"/>
          <w:sz w:val="24"/>
          <w:szCs w:val="24"/>
          <w:lang w:val="en-US"/>
        </w:rPr>
        <w:t xml:space="preserve"> and </w:t>
      </w:r>
      <w:r w:rsidR="00F47063" w:rsidRPr="00F17126">
        <w:rPr>
          <w:rFonts w:ascii="Times New Roman" w:hAnsi="Times New Roman" w:cs="Times New Roman"/>
          <w:sz w:val="24"/>
          <w:szCs w:val="24"/>
          <w:lang w:val="en-US"/>
        </w:rPr>
        <w:t>governments continue to negotiate details of its implementation</w:t>
      </w:r>
      <w:r w:rsidRPr="00F17126">
        <w:rPr>
          <w:rFonts w:ascii="Times New Roman" w:hAnsi="Times New Roman" w:cs="Times New Roman"/>
          <w:sz w:val="24"/>
          <w:szCs w:val="24"/>
          <w:lang w:val="en-US"/>
        </w:rPr>
        <w:t xml:space="preserve">. </w:t>
      </w:r>
      <w:r w:rsidR="00CC6914" w:rsidRPr="00F17126">
        <w:rPr>
          <w:rFonts w:ascii="Times New Roman" w:hAnsi="Times New Roman" w:cs="Times New Roman"/>
          <w:sz w:val="24"/>
          <w:szCs w:val="24"/>
          <w:lang w:val="en-US"/>
        </w:rPr>
        <w:t>Finally</w:t>
      </w:r>
      <w:r w:rsidRPr="00F17126">
        <w:rPr>
          <w:rFonts w:ascii="Times New Roman" w:hAnsi="Times New Roman" w:cs="Times New Roman"/>
          <w:sz w:val="24"/>
          <w:szCs w:val="24"/>
          <w:lang w:val="en-US"/>
        </w:rPr>
        <w:t xml:space="preserve">, the </w:t>
      </w:r>
      <w:r w:rsidR="001068AF" w:rsidRPr="00F17126">
        <w:rPr>
          <w:rFonts w:ascii="Times New Roman" w:hAnsi="Times New Roman" w:cs="Times New Roman"/>
          <w:sz w:val="24"/>
          <w:szCs w:val="24"/>
          <w:lang w:val="en-US"/>
        </w:rPr>
        <w:t xml:space="preserve">PA’s </w:t>
      </w:r>
      <w:r w:rsidRPr="00F17126">
        <w:rPr>
          <w:rFonts w:ascii="Times New Roman" w:hAnsi="Times New Roman" w:cs="Times New Roman"/>
          <w:sz w:val="24"/>
          <w:szCs w:val="24"/>
          <w:lang w:val="en-US"/>
        </w:rPr>
        <w:t xml:space="preserve">institutional effectiveness is </w:t>
      </w:r>
      <w:r w:rsidR="00C65C57">
        <w:rPr>
          <w:rFonts w:ascii="Times New Roman" w:hAnsi="Times New Roman" w:cs="Times New Roman"/>
          <w:sz w:val="24"/>
          <w:szCs w:val="24"/>
          <w:lang w:val="en-US"/>
        </w:rPr>
        <w:t>distinct</w:t>
      </w:r>
      <w:r w:rsidR="00C65C57"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from </w:t>
      </w:r>
      <w:r w:rsidR="001068AF" w:rsidRPr="00F17126">
        <w:rPr>
          <w:rFonts w:ascii="Times New Roman" w:hAnsi="Times New Roman" w:cs="Times New Roman"/>
          <w:sz w:val="24"/>
          <w:szCs w:val="24"/>
          <w:lang w:val="en-US"/>
        </w:rPr>
        <w:t>its environmental effectiveness; indeed,</w:t>
      </w:r>
      <w:r w:rsidRPr="00F17126">
        <w:rPr>
          <w:rFonts w:ascii="Times New Roman" w:hAnsi="Times New Roman" w:cs="Times New Roman"/>
          <w:sz w:val="24"/>
          <w:szCs w:val="24"/>
          <w:lang w:val="en-US"/>
        </w:rPr>
        <w:t xml:space="preserve"> the latter </w:t>
      </w:r>
      <w:r w:rsidR="001068AF" w:rsidRPr="00F17126">
        <w:rPr>
          <w:rFonts w:ascii="Times New Roman" w:hAnsi="Times New Roman" w:cs="Times New Roman"/>
          <w:sz w:val="24"/>
          <w:szCs w:val="24"/>
          <w:lang w:val="en-US"/>
        </w:rPr>
        <w:t xml:space="preserve">will </w:t>
      </w:r>
      <w:r w:rsidRPr="00F17126">
        <w:rPr>
          <w:rFonts w:ascii="Times New Roman" w:hAnsi="Times New Roman" w:cs="Times New Roman"/>
          <w:sz w:val="24"/>
          <w:szCs w:val="24"/>
          <w:lang w:val="en-US"/>
        </w:rPr>
        <w:t xml:space="preserve">depend on emission trends and temperature changes </w:t>
      </w:r>
      <w:r w:rsidR="00E564D5" w:rsidRPr="00F17126">
        <w:rPr>
          <w:rFonts w:ascii="Times New Roman" w:hAnsi="Times New Roman" w:cs="Times New Roman"/>
          <w:sz w:val="24"/>
          <w:szCs w:val="24"/>
          <w:lang w:val="en-US"/>
        </w:rPr>
        <w:t>influenced</w:t>
      </w:r>
      <w:r w:rsidRPr="00F17126">
        <w:rPr>
          <w:rFonts w:ascii="Times New Roman" w:hAnsi="Times New Roman" w:cs="Times New Roman"/>
          <w:sz w:val="24"/>
          <w:szCs w:val="24"/>
          <w:lang w:val="en-US"/>
        </w:rPr>
        <w:t xml:space="preserve"> by multiple factors</w:t>
      </w:r>
      <w:r w:rsidR="00E564D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some of which are unrelated to the agreement</w:t>
      </w:r>
      <w:r w:rsidR="00E564D5" w:rsidRPr="00F17126">
        <w:rPr>
          <w:rFonts w:ascii="Times New Roman" w:hAnsi="Times New Roman" w:cs="Times New Roman"/>
          <w:sz w:val="24"/>
          <w:szCs w:val="24"/>
          <w:lang w:val="en-US"/>
        </w:rPr>
        <w:t xml:space="preserve">. </w:t>
      </w:r>
    </w:p>
    <w:p w14:paraId="2D4E5DA7" w14:textId="4356519B" w:rsidR="008D57CC" w:rsidRPr="00F17126" w:rsidRDefault="00015B6B" w:rsidP="009C477E">
      <w:pPr>
        <w:spacing w:line="360" w:lineRule="auto"/>
        <w:ind w:firstLine="708"/>
        <w:rPr>
          <w:rFonts w:ascii="Times New Roman" w:hAnsi="Times New Roman" w:cs="Times New Roman"/>
          <w:sz w:val="24"/>
          <w:szCs w:val="24"/>
          <w:lang w:val="en-US"/>
        </w:rPr>
      </w:pPr>
      <w:r w:rsidRPr="00F17126">
        <w:rPr>
          <w:rFonts w:ascii="Times New Roman" w:eastAsia="Times New Roman" w:hAnsi="Times New Roman" w:cs="Times New Roman"/>
          <w:sz w:val="24"/>
          <w:szCs w:val="24"/>
          <w:lang w:val="en-US"/>
        </w:rPr>
        <w:t xml:space="preserve">This paper offers a review of the rapidly growing literature on the </w:t>
      </w:r>
      <w:r w:rsidR="00820E85" w:rsidRPr="00F17126">
        <w:rPr>
          <w:rFonts w:ascii="Times New Roman" w:eastAsia="Times New Roman" w:hAnsi="Times New Roman" w:cs="Times New Roman"/>
          <w:sz w:val="24"/>
          <w:szCs w:val="24"/>
          <w:lang w:val="en-US"/>
        </w:rPr>
        <w:t>PA</w:t>
      </w:r>
      <w:r w:rsidRPr="00F17126">
        <w:rPr>
          <w:rFonts w:ascii="Times New Roman" w:eastAsia="Times New Roman" w:hAnsi="Times New Roman" w:cs="Times New Roman"/>
          <w:sz w:val="24"/>
          <w:szCs w:val="24"/>
          <w:lang w:val="en-US"/>
        </w:rPr>
        <w:t xml:space="preserve">, </w:t>
      </w:r>
      <w:r w:rsidR="00E564D5" w:rsidRPr="00F17126">
        <w:rPr>
          <w:rFonts w:ascii="Times New Roman" w:eastAsia="Times New Roman" w:hAnsi="Times New Roman" w:cs="Times New Roman"/>
          <w:sz w:val="24"/>
          <w:szCs w:val="24"/>
          <w:lang w:val="en-US"/>
        </w:rPr>
        <w:t xml:space="preserve">to assess </w:t>
      </w:r>
      <w:r w:rsidR="001068AF" w:rsidRPr="00F17126">
        <w:rPr>
          <w:rFonts w:ascii="Times New Roman" w:eastAsia="Times New Roman" w:hAnsi="Times New Roman" w:cs="Times New Roman"/>
          <w:sz w:val="24"/>
          <w:szCs w:val="24"/>
          <w:lang w:val="en-US"/>
        </w:rPr>
        <w:t xml:space="preserve">its </w:t>
      </w:r>
      <w:r w:rsidR="00E564D5" w:rsidRPr="00F17126">
        <w:rPr>
          <w:rFonts w:ascii="Times New Roman" w:eastAsia="Times New Roman" w:hAnsi="Times New Roman" w:cs="Times New Roman"/>
          <w:sz w:val="24"/>
          <w:szCs w:val="24"/>
          <w:lang w:val="en-US"/>
        </w:rPr>
        <w:t>strengths and weaknesses, its significance</w:t>
      </w:r>
      <w:r w:rsidR="001068AF" w:rsidRPr="00F17126">
        <w:rPr>
          <w:rFonts w:ascii="Times New Roman" w:eastAsia="Times New Roman" w:hAnsi="Times New Roman" w:cs="Times New Roman"/>
          <w:sz w:val="24"/>
          <w:szCs w:val="24"/>
          <w:lang w:val="en-US"/>
        </w:rPr>
        <w:t xml:space="preserve">, </w:t>
      </w:r>
      <w:r w:rsidR="00E564D5" w:rsidRPr="00F17126">
        <w:rPr>
          <w:rFonts w:ascii="Times New Roman" w:eastAsia="Times New Roman" w:hAnsi="Times New Roman" w:cs="Times New Roman"/>
          <w:sz w:val="24"/>
          <w:szCs w:val="24"/>
          <w:lang w:val="en-US"/>
        </w:rPr>
        <w:t xml:space="preserve">and </w:t>
      </w:r>
      <w:r w:rsidR="001068AF" w:rsidRPr="00F17126">
        <w:rPr>
          <w:rFonts w:ascii="Times New Roman" w:eastAsia="Times New Roman" w:hAnsi="Times New Roman" w:cs="Times New Roman"/>
          <w:sz w:val="24"/>
          <w:szCs w:val="24"/>
          <w:lang w:val="en-US"/>
        </w:rPr>
        <w:t xml:space="preserve">its </w:t>
      </w:r>
      <w:r w:rsidR="00E564D5" w:rsidRPr="00F17126">
        <w:rPr>
          <w:rFonts w:ascii="Times New Roman" w:eastAsia="Times New Roman" w:hAnsi="Times New Roman" w:cs="Times New Roman"/>
          <w:sz w:val="24"/>
          <w:szCs w:val="24"/>
          <w:lang w:val="en-US"/>
        </w:rPr>
        <w:t xml:space="preserve">prospects. We </w:t>
      </w:r>
      <w:r w:rsidR="00571086" w:rsidRPr="00F17126">
        <w:rPr>
          <w:rFonts w:ascii="Times New Roman" w:eastAsia="Times New Roman" w:hAnsi="Times New Roman" w:cs="Times New Roman"/>
          <w:sz w:val="24"/>
          <w:szCs w:val="24"/>
          <w:lang w:val="en-US"/>
        </w:rPr>
        <w:t xml:space="preserve">focus on </w:t>
      </w:r>
      <w:r w:rsidR="00E564D5" w:rsidRPr="00F17126">
        <w:rPr>
          <w:rFonts w:ascii="Times New Roman" w:eastAsia="Times New Roman" w:hAnsi="Times New Roman" w:cs="Times New Roman"/>
          <w:sz w:val="24"/>
          <w:szCs w:val="24"/>
          <w:lang w:val="en-US"/>
        </w:rPr>
        <w:t>evaluations</w:t>
      </w:r>
      <w:r w:rsidR="00571086" w:rsidRPr="00F17126">
        <w:rPr>
          <w:rFonts w:ascii="Times New Roman" w:eastAsia="Times New Roman" w:hAnsi="Times New Roman" w:cs="Times New Roman"/>
          <w:sz w:val="24"/>
          <w:szCs w:val="24"/>
          <w:lang w:val="en-US"/>
        </w:rPr>
        <w:t xml:space="preserve"> of the agreement’s institutional structure and ability to induce member countries to </w:t>
      </w:r>
      <w:r w:rsidR="00D35099" w:rsidRPr="00F17126">
        <w:rPr>
          <w:rFonts w:ascii="Times New Roman" w:eastAsia="Times New Roman" w:hAnsi="Times New Roman" w:cs="Times New Roman"/>
          <w:sz w:val="24"/>
          <w:szCs w:val="24"/>
          <w:lang w:val="en-US"/>
        </w:rPr>
        <w:t xml:space="preserve">implement </w:t>
      </w:r>
      <w:r w:rsidR="00763C80" w:rsidRPr="00F17126">
        <w:rPr>
          <w:rFonts w:ascii="Times New Roman" w:eastAsia="Times New Roman" w:hAnsi="Times New Roman" w:cs="Times New Roman"/>
          <w:sz w:val="24"/>
          <w:szCs w:val="24"/>
          <w:lang w:val="en-US"/>
        </w:rPr>
        <w:t>policies</w:t>
      </w:r>
      <w:r w:rsidR="00571086" w:rsidRPr="00F17126">
        <w:rPr>
          <w:rFonts w:ascii="Times New Roman" w:eastAsia="Times New Roman" w:hAnsi="Times New Roman" w:cs="Times New Roman"/>
          <w:sz w:val="24"/>
          <w:szCs w:val="24"/>
          <w:lang w:val="en-US"/>
        </w:rPr>
        <w:t xml:space="preserve">. </w:t>
      </w:r>
      <w:r w:rsidR="00E564D5" w:rsidRPr="00F17126">
        <w:rPr>
          <w:rFonts w:ascii="Times New Roman" w:eastAsia="Times New Roman" w:hAnsi="Times New Roman" w:cs="Times New Roman"/>
          <w:sz w:val="24"/>
          <w:szCs w:val="24"/>
          <w:lang w:val="en-US"/>
        </w:rPr>
        <w:t>In the process</w:t>
      </w:r>
      <w:r w:rsidRPr="00F17126">
        <w:rPr>
          <w:rFonts w:ascii="Times New Roman" w:eastAsia="Times New Roman" w:hAnsi="Times New Roman" w:cs="Times New Roman"/>
          <w:sz w:val="24"/>
          <w:szCs w:val="24"/>
          <w:lang w:val="en-US"/>
        </w:rPr>
        <w:t xml:space="preserve">, we </w:t>
      </w:r>
      <w:r w:rsidR="008D57CC" w:rsidRPr="00F17126">
        <w:rPr>
          <w:rFonts w:ascii="Times New Roman" w:eastAsia="Times New Roman" w:hAnsi="Times New Roman" w:cs="Times New Roman"/>
          <w:sz w:val="24"/>
          <w:szCs w:val="24"/>
          <w:lang w:val="en-US"/>
        </w:rPr>
        <w:t xml:space="preserve">try to answer the following </w:t>
      </w:r>
      <w:r w:rsidRPr="00F17126">
        <w:rPr>
          <w:rFonts w:ascii="Times New Roman" w:eastAsia="Times New Roman" w:hAnsi="Times New Roman" w:cs="Times New Roman"/>
          <w:sz w:val="24"/>
          <w:szCs w:val="24"/>
          <w:lang w:val="en-US"/>
        </w:rPr>
        <w:t xml:space="preserve">question: </w:t>
      </w:r>
      <w:r w:rsidR="008D57CC" w:rsidRPr="00F17126">
        <w:rPr>
          <w:rFonts w:ascii="Times New Roman" w:eastAsia="Times New Roman" w:hAnsi="Times New Roman" w:cs="Times New Roman"/>
          <w:i/>
          <w:sz w:val="24"/>
          <w:szCs w:val="24"/>
          <w:lang w:val="en-US"/>
        </w:rPr>
        <w:t>Based on the literature,</w:t>
      </w:r>
      <w:r w:rsidR="008D57CC" w:rsidRPr="00F17126">
        <w:rPr>
          <w:rFonts w:ascii="Times New Roman" w:eastAsia="Times New Roman" w:hAnsi="Times New Roman" w:cs="Times New Roman"/>
          <w:sz w:val="24"/>
          <w:szCs w:val="24"/>
          <w:lang w:val="en-US"/>
        </w:rPr>
        <w:t xml:space="preserve"> </w:t>
      </w:r>
      <w:r w:rsidR="008D57CC" w:rsidRPr="00F17126">
        <w:rPr>
          <w:rFonts w:ascii="Times New Roman" w:hAnsi="Times New Roman" w:cs="Times New Roman"/>
          <w:i/>
          <w:sz w:val="24"/>
          <w:szCs w:val="24"/>
          <w:lang w:val="en-US"/>
        </w:rPr>
        <w:t>t</w:t>
      </w:r>
      <w:r w:rsidR="001167D2" w:rsidRPr="00F17126">
        <w:rPr>
          <w:rFonts w:ascii="Times New Roman" w:hAnsi="Times New Roman" w:cs="Times New Roman"/>
          <w:i/>
          <w:sz w:val="24"/>
          <w:szCs w:val="24"/>
          <w:lang w:val="en-US"/>
        </w:rPr>
        <w:t xml:space="preserve">o what extent </w:t>
      </w:r>
      <w:r w:rsidR="00D11EA5" w:rsidRPr="00F17126">
        <w:rPr>
          <w:rFonts w:ascii="Times New Roman" w:hAnsi="Times New Roman" w:cs="Times New Roman"/>
          <w:i/>
          <w:sz w:val="24"/>
          <w:szCs w:val="24"/>
          <w:lang w:val="en-US"/>
        </w:rPr>
        <w:t>should</w:t>
      </w:r>
      <w:r w:rsidR="001167D2" w:rsidRPr="00F17126">
        <w:rPr>
          <w:rFonts w:ascii="Times New Roman" w:hAnsi="Times New Roman" w:cs="Times New Roman"/>
          <w:i/>
          <w:sz w:val="24"/>
          <w:szCs w:val="24"/>
          <w:lang w:val="en-US"/>
        </w:rPr>
        <w:t xml:space="preserve"> we expect the</w:t>
      </w:r>
      <w:r w:rsidR="00C65C57">
        <w:rPr>
          <w:rFonts w:ascii="Times New Roman" w:hAnsi="Times New Roman" w:cs="Times New Roman"/>
          <w:i/>
          <w:sz w:val="24"/>
          <w:szCs w:val="24"/>
          <w:lang w:val="en-US"/>
        </w:rPr>
        <w:t xml:space="preserve"> PA’s</w:t>
      </w:r>
      <w:r w:rsidR="001167D2" w:rsidRPr="00F17126">
        <w:rPr>
          <w:rFonts w:ascii="Times New Roman" w:hAnsi="Times New Roman" w:cs="Times New Roman"/>
          <w:i/>
          <w:sz w:val="24"/>
          <w:szCs w:val="24"/>
          <w:lang w:val="en-US"/>
        </w:rPr>
        <w:t xml:space="preserve"> institutional architecture to be effective in </w:t>
      </w:r>
      <w:r w:rsidR="00CC6914" w:rsidRPr="00F17126">
        <w:rPr>
          <w:rFonts w:ascii="Times New Roman" w:hAnsi="Times New Roman" w:cs="Times New Roman"/>
          <w:i/>
          <w:sz w:val="24"/>
          <w:szCs w:val="24"/>
          <w:lang w:val="en-US"/>
        </w:rPr>
        <w:t>influenc</w:t>
      </w:r>
      <w:r w:rsidR="00D35099" w:rsidRPr="00F17126">
        <w:rPr>
          <w:rFonts w:ascii="Times New Roman" w:hAnsi="Times New Roman" w:cs="Times New Roman"/>
          <w:i/>
          <w:sz w:val="24"/>
          <w:szCs w:val="24"/>
          <w:lang w:val="en-US"/>
        </w:rPr>
        <w:t>ing policy behavior</w:t>
      </w:r>
      <w:r w:rsidR="001167D2" w:rsidRPr="00F17126">
        <w:rPr>
          <w:rFonts w:ascii="Times New Roman" w:hAnsi="Times New Roman" w:cs="Times New Roman"/>
          <w:i/>
          <w:sz w:val="24"/>
          <w:szCs w:val="24"/>
          <w:lang w:val="en-US"/>
        </w:rPr>
        <w:t>?</w:t>
      </w:r>
      <w:r w:rsidR="001167D2" w:rsidRPr="00F17126">
        <w:rPr>
          <w:rFonts w:ascii="Times New Roman" w:hAnsi="Times New Roman" w:cs="Times New Roman"/>
          <w:sz w:val="24"/>
          <w:szCs w:val="24"/>
          <w:lang w:val="en-US"/>
        </w:rPr>
        <w:t xml:space="preserve"> </w:t>
      </w:r>
      <w:r w:rsidR="008D57CC" w:rsidRPr="00F17126" w:rsidDel="008D57CC">
        <w:rPr>
          <w:rFonts w:ascii="Times New Roman" w:hAnsi="Times New Roman" w:cs="Times New Roman"/>
          <w:sz w:val="24"/>
          <w:szCs w:val="24"/>
          <w:lang w:val="en-US"/>
        </w:rPr>
        <w:t xml:space="preserve"> </w:t>
      </w:r>
    </w:p>
    <w:p w14:paraId="326B8F6F" w14:textId="6EBBC0B4" w:rsidR="00D35099" w:rsidRPr="00F17126" w:rsidRDefault="00EC7D1B" w:rsidP="009C477E">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We begin</w:t>
      </w:r>
      <w:r w:rsidR="001167D2" w:rsidRPr="00F17126">
        <w:rPr>
          <w:rFonts w:ascii="Times New Roman" w:hAnsi="Times New Roman" w:cs="Times New Roman"/>
          <w:sz w:val="24"/>
          <w:szCs w:val="24"/>
          <w:lang w:val="en-US"/>
        </w:rPr>
        <w:t xml:space="preserve"> by </w:t>
      </w:r>
      <w:r w:rsidR="009C477E" w:rsidRPr="00F17126">
        <w:rPr>
          <w:rFonts w:ascii="Times New Roman" w:hAnsi="Times New Roman" w:cs="Times New Roman"/>
          <w:sz w:val="24"/>
          <w:szCs w:val="24"/>
          <w:lang w:val="en-US"/>
        </w:rPr>
        <w:t xml:space="preserve">summarizing the PA (section </w:t>
      </w:r>
      <w:r w:rsidR="00590D22" w:rsidRPr="00F17126">
        <w:rPr>
          <w:rFonts w:ascii="Times New Roman" w:hAnsi="Times New Roman" w:cs="Times New Roman"/>
          <w:sz w:val="24"/>
          <w:szCs w:val="24"/>
          <w:lang w:val="en-US"/>
        </w:rPr>
        <w:t>2</w:t>
      </w:r>
      <w:r w:rsidR="009C477E" w:rsidRPr="00F17126">
        <w:rPr>
          <w:rFonts w:ascii="Times New Roman" w:hAnsi="Times New Roman" w:cs="Times New Roman"/>
          <w:sz w:val="24"/>
          <w:szCs w:val="24"/>
          <w:lang w:val="en-US"/>
        </w:rPr>
        <w:t>)</w:t>
      </w:r>
      <w:r w:rsidR="001167D2" w:rsidRPr="00F17126">
        <w:rPr>
          <w:rFonts w:ascii="Times New Roman" w:hAnsi="Times New Roman" w:cs="Times New Roman"/>
          <w:sz w:val="24"/>
          <w:szCs w:val="24"/>
          <w:lang w:val="en-US"/>
        </w:rPr>
        <w:t xml:space="preserve">. </w:t>
      </w:r>
      <w:r w:rsidR="00590D22" w:rsidRPr="00F17126">
        <w:rPr>
          <w:rFonts w:ascii="Times New Roman" w:hAnsi="Times New Roman" w:cs="Times New Roman"/>
          <w:sz w:val="24"/>
          <w:szCs w:val="24"/>
          <w:lang w:val="en-US"/>
        </w:rPr>
        <w:t>As explained in section 3, w</w:t>
      </w:r>
      <w:r w:rsidR="001167D2" w:rsidRPr="00F17126">
        <w:rPr>
          <w:rFonts w:ascii="Times New Roman" w:hAnsi="Times New Roman" w:cs="Times New Roman"/>
          <w:sz w:val="24"/>
          <w:szCs w:val="24"/>
          <w:lang w:val="en-US"/>
        </w:rPr>
        <w:t xml:space="preserve">e frame </w:t>
      </w:r>
      <w:r w:rsidR="00590D22" w:rsidRPr="00F17126">
        <w:rPr>
          <w:rFonts w:ascii="Times New Roman" w:hAnsi="Times New Roman" w:cs="Times New Roman"/>
          <w:sz w:val="24"/>
          <w:szCs w:val="24"/>
          <w:lang w:val="en-US"/>
        </w:rPr>
        <w:t xml:space="preserve">the main body </w:t>
      </w:r>
      <w:r w:rsidR="001167D2" w:rsidRPr="00F17126">
        <w:rPr>
          <w:rFonts w:ascii="Times New Roman" w:hAnsi="Times New Roman" w:cs="Times New Roman"/>
          <w:sz w:val="24"/>
          <w:szCs w:val="24"/>
          <w:lang w:val="en-US"/>
        </w:rPr>
        <w:t xml:space="preserve">of our review in terms of a trilemma: the challenge of simultaneously achieving all three conditions </w:t>
      </w:r>
      <w:r w:rsidR="00E04F11">
        <w:rPr>
          <w:rFonts w:ascii="Times New Roman" w:hAnsi="Times New Roman" w:cs="Times New Roman"/>
          <w:sz w:val="24"/>
          <w:szCs w:val="24"/>
          <w:lang w:val="en-US"/>
        </w:rPr>
        <w:t xml:space="preserve">vital </w:t>
      </w:r>
      <w:r w:rsidR="001167D2" w:rsidRPr="00F17126">
        <w:rPr>
          <w:rFonts w:ascii="Times New Roman" w:hAnsi="Times New Roman" w:cs="Times New Roman"/>
          <w:sz w:val="24"/>
          <w:szCs w:val="24"/>
          <w:lang w:val="en-US"/>
        </w:rPr>
        <w:t xml:space="preserve">for effectiveness – broad participation in the treaty (section </w:t>
      </w:r>
      <w:r w:rsidR="00590D22" w:rsidRPr="00F17126">
        <w:rPr>
          <w:rFonts w:ascii="Times New Roman" w:hAnsi="Times New Roman" w:cs="Times New Roman"/>
          <w:sz w:val="24"/>
          <w:szCs w:val="24"/>
          <w:lang w:val="en-US"/>
        </w:rPr>
        <w:t>4</w:t>
      </w:r>
      <w:r w:rsidR="001167D2" w:rsidRPr="00F17126">
        <w:rPr>
          <w:rFonts w:ascii="Times New Roman" w:hAnsi="Times New Roman" w:cs="Times New Roman"/>
          <w:sz w:val="24"/>
          <w:szCs w:val="24"/>
          <w:lang w:val="en-US"/>
        </w:rPr>
        <w:t xml:space="preserve">), deep </w:t>
      </w:r>
      <w:r w:rsidR="001167D2" w:rsidRPr="00F17126">
        <w:rPr>
          <w:rFonts w:ascii="Times New Roman" w:hAnsi="Times New Roman" w:cs="Times New Roman"/>
          <w:sz w:val="24"/>
          <w:szCs w:val="24"/>
          <w:lang w:val="en-US"/>
        </w:rPr>
        <w:lastRenderedPageBreak/>
        <w:t xml:space="preserve">policy commitments </w:t>
      </w:r>
      <w:r w:rsidR="001068AF" w:rsidRPr="00F17126">
        <w:rPr>
          <w:rFonts w:ascii="Times New Roman" w:hAnsi="Times New Roman" w:cs="Times New Roman"/>
          <w:sz w:val="24"/>
          <w:szCs w:val="24"/>
          <w:lang w:val="en-US"/>
        </w:rPr>
        <w:t xml:space="preserve">by participating countries </w:t>
      </w:r>
      <w:r w:rsidR="001167D2" w:rsidRPr="00F17126">
        <w:rPr>
          <w:rFonts w:ascii="Times New Roman" w:hAnsi="Times New Roman" w:cs="Times New Roman"/>
          <w:sz w:val="24"/>
          <w:szCs w:val="24"/>
          <w:lang w:val="en-US"/>
        </w:rPr>
        <w:t xml:space="preserve">(section 5), </w:t>
      </w:r>
      <w:r w:rsidR="001167D2" w:rsidRPr="00F17126">
        <w:rPr>
          <w:rFonts w:ascii="Times New Roman" w:hAnsi="Times New Roman" w:cs="Times New Roman"/>
          <w:i/>
          <w:sz w:val="24"/>
          <w:szCs w:val="24"/>
          <w:lang w:val="en-US"/>
        </w:rPr>
        <w:t>and</w:t>
      </w:r>
      <w:r w:rsidR="001167D2" w:rsidRPr="00F17126">
        <w:rPr>
          <w:rFonts w:ascii="Times New Roman" w:hAnsi="Times New Roman" w:cs="Times New Roman"/>
          <w:sz w:val="24"/>
          <w:szCs w:val="24"/>
          <w:lang w:val="en-US"/>
        </w:rPr>
        <w:t xml:space="preserve"> </w:t>
      </w:r>
      <w:r w:rsidR="00894EEE" w:rsidRPr="00F17126">
        <w:rPr>
          <w:rFonts w:ascii="Times New Roman" w:hAnsi="Times New Roman" w:cs="Times New Roman"/>
          <w:sz w:val="24"/>
          <w:szCs w:val="24"/>
          <w:lang w:val="en-US"/>
        </w:rPr>
        <w:t xml:space="preserve">satisfactory </w:t>
      </w:r>
      <w:r w:rsidR="001167D2" w:rsidRPr="00F17126">
        <w:rPr>
          <w:rFonts w:ascii="Times New Roman" w:hAnsi="Times New Roman" w:cs="Times New Roman"/>
          <w:sz w:val="24"/>
          <w:szCs w:val="24"/>
          <w:lang w:val="en-US"/>
        </w:rPr>
        <w:t>levels of compliance (section 6).</w:t>
      </w:r>
      <w:r w:rsidR="00590D22" w:rsidRPr="00F17126">
        <w:rPr>
          <w:rFonts w:ascii="Times New Roman" w:hAnsi="Times New Roman" w:cs="Times New Roman"/>
          <w:sz w:val="24"/>
          <w:szCs w:val="24"/>
          <w:lang w:val="en-US"/>
        </w:rPr>
        <w:t xml:space="preserve"> We then review assessments </w:t>
      </w:r>
      <w:r w:rsidR="00CC6914" w:rsidRPr="00F17126">
        <w:rPr>
          <w:rFonts w:ascii="Times New Roman" w:hAnsi="Times New Roman" w:cs="Times New Roman"/>
          <w:sz w:val="24"/>
          <w:szCs w:val="24"/>
          <w:lang w:val="en-US"/>
        </w:rPr>
        <w:t>of the PA by</w:t>
      </w:r>
      <w:r w:rsidR="00590D22" w:rsidRPr="00F17126">
        <w:rPr>
          <w:rFonts w:ascii="Times New Roman" w:hAnsi="Times New Roman" w:cs="Times New Roman"/>
          <w:sz w:val="24"/>
          <w:szCs w:val="24"/>
          <w:lang w:val="en-US"/>
        </w:rPr>
        <w:t xml:space="preserve"> experts who actively participated in negotiations (section 7). </w:t>
      </w:r>
      <w:r w:rsidR="001167D2" w:rsidRPr="00F17126">
        <w:rPr>
          <w:rFonts w:ascii="Times New Roman" w:hAnsi="Times New Roman" w:cs="Times New Roman"/>
          <w:sz w:val="24"/>
          <w:szCs w:val="24"/>
          <w:lang w:val="en-US"/>
        </w:rPr>
        <w:t xml:space="preserve">Finally, we draw </w:t>
      </w:r>
      <w:r w:rsidR="00590D22" w:rsidRPr="00F17126">
        <w:rPr>
          <w:rFonts w:ascii="Times New Roman" w:hAnsi="Times New Roman" w:cs="Times New Roman"/>
          <w:sz w:val="24"/>
          <w:szCs w:val="24"/>
          <w:lang w:val="en-US"/>
        </w:rPr>
        <w:t xml:space="preserve">some </w:t>
      </w:r>
      <w:r w:rsidR="001167D2" w:rsidRPr="00F17126">
        <w:rPr>
          <w:rFonts w:ascii="Times New Roman" w:hAnsi="Times New Roman" w:cs="Times New Roman"/>
          <w:sz w:val="24"/>
          <w:szCs w:val="24"/>
          <w:lang w:val="en-US"/>
        </w:rPr>
        <w:t xml:space="preserve">conclusions based on patterns </w:t>
      </w:r>
      <w:r w:rsidR="00590D22" w:rsidRPr="00F17126">
        <w:rPr>
          <w:rFonts w:ascii="Times New Roman" w:hAnsi="Times New Roman" w:cs="Times New Roman"/>
          <w:sz w:val="24"/>
          <w:szCs w:val="24"/>
          <w:lang w:val="en-US"/>
        </w:rPr>
        <w:t>identified in our review</w:t>
      </w:r>
      <w:r w:rsidR="001167D2" w:rsidRPr="00F17126">
        <w:rPr>
          <w:rFonts w:ascii="Times New Roman" w:hAnsi="Times New Roman" w:cs="Times New Roman"/>
          <w:sz w:val="24"/>
          <w:szCs w:val="24"/>
          <w:lang w:val="en-US"/>
        </w:rPr>
        <w:t xml:space="preserve"> (section </w:t>
      </w:r>
      <w:r w:rsidR="00590D22" w:rsidRPr="00F17126">
        <w:rPr>
          <w:rFonts w:ascii="Times New Roman" w:hAnsi="Times New Roman" w:cs="Times New Roman"/>
          <w:sz w:val="24"/>
          <w:szCs w:val="24"/>
          <w:lang w:val="en-US"/>
        </w:rPr>
        <w:t>8</w:t>
      </w:r>
      <w:r w:rsidR="001167D2" w:rsidRPr="00F17126">
        <w:rPr>
          <w:rFonts w:ascii="Times New Roman" w:hAnsi="Times New Roman" w:cs="Times New Roman"/>
          <w:sz w:val="24"/>
          <w:szCs w:val="24"/>
          <w:lang w:val="en-US"/>
        </w:rPr>
        <w:t>).</w:t>
      </w:r>
    </w:p>
    <w:p w14:paraId="4DF1EC5C" w14:textId="77777777" w:rsidR="001068AF" w:rsidRPr="00F17126" w:rsidRDefault="001068AF" w:rsidP="009C477E">
      <w:pPr>
        <w:spacing w:line="360" w:lineRule="auto"/>
        <w:ind w:firstLine="708"/>
        <w:rPr>
          <w:rFonts w:ascii="Times New Roman" w:hAnsi="Times New Roman" w:cs="Times New Roman"/>
          <w:sz w:val="24"/>
          <w:szCs w:val="24"/>
          <w:lang w:val="en-US"/>
        </w:rPr>
      </w:pPr>
    </w:p>
    <w:p w14:paraId="02C7ABFF" w14:textId="32AE2177" w:rsidR="00563A98" w:rsidRPr="00F17126" w:rsidRDefault="00894EEE" w:rsidP="009C477E">
      <w:pPr>
        <w:spacing w:after="120"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t xml:space="preserve">2. </w:t>
      </w:r>
      <w:r w:rsidR="00563A98" w:rsidRPr="00F17126">
        <w:rPr>
          <w:rFonts w:ascii="Times New Roman" w:hAnsi="Times New Roman" w:cs="Times New Roman"/>
          <w:b/>
          <w:sz w:val="24"/>
          <w:szCs w:val="24"/>
          <w:lang w:val="en-US"/>
        </w:rPr>
        <w:t xml:space="preserve">The Paris Agreement: </w:t>
      </w:r>
      <w:r w:rsidR="00FE635F">
        <w:rPr>
          <w:rFonts w:ascii="Times New Roman" w:hAnsi="Times New Roman" w:cs="Times New Roman"/>
          <w:b/>
          <w:sz w:val="24"/>
          <w:szCs w:val="24"/>
          <w:lang w:val="en-US"/>
        </w:rPr>
        <w:t>a</w:t>
      </w:r>
      <w:r w:rsidR="00563A98" w:rsidRPr="00F17126">
        <w:rPr>
          <w:rFonts w:ascii="Times New Roman" w:hAnsi="Times New Roman" w:cs="Times New Roman"/>
          <w:b/>
          <w:sz w:val="24"/>
          <w:szCs w:val="24"/>
          <w:lang w:val="en-US"/>
        </w:rPr>
        <w:t xml:space="preserve"> Summary</w:t>
      </w:r>
    </w:p>
    <w:p w14:paraId="411E1494" w14:textId="6F8ECB3D" w:rsidR="00D35099" w:rsidRPr="00F17126" w:rsidRDefault="00D35099"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The PA is an international policy agreement that relies on </w:t>
      </w:r>
      <w:r w:rsidR="001068AF" w:rsidRPr="00F17126">
        <w:rPr>
          <w:rFonts w:ascii="Times New Roman" w:hAnsi="Times New Roman" w:cs="Times New Roman"/>
          <w:sz w:val="24"/>
          <w:szCs w:val="24"/>
          <w:lang w:val="en-US"/>
        </w:rPr>
        <w:t xml:space="preserve">combining </w:t>
      </w:r>
      <w:r w:rsidRPr="00F17126">
        <w:rPr>
          <w:rFonts w:ascii="Times New Roman" w:hAnsi="Times New Roman" w:cs="Times New Roman"/>
          <w:sz w:val="24"/>
          <w:szCs w:val="24"/>
          <w:lang w:val="en-US"/>
        </w:rPr>
        <w:t xml:space="preserve">a top-down approach </w:t>
      </w:r>
      <w:r w:rsidR="001068AF" w:rsidRPr="00F17126">
        <w:rPr>
          <w:rFonts w:ascii="Times New Roman" w:hAnsi="Times New Roman" w:cs="Times New Roman"/>
          <w:sz w:val="24"/>
          <w:szCs w:val="24"/>
          <w:lang w:val="en-US"/>
        </w:rPr>
        <w:t>that imposes</w:t>
      </w:r>
      <w:r w:rsidRPr="00F17126">
        <w:rPr>
          <w:rFonts w:ascii="Times New Roman" w:hAnsi="Times New Roman" w:cs="Times New Roman"/>
          <w:sz w:val="24"/>
          <w:szCs w:val="24"/>
          <w:lang w:val="en-US"/>
        </w:rPr>
        <w:t xml:space="preserve"> legally binding obligations on countries and a bottom-up approach to policy formulation that leaves </w:t>
      </w:r>
      <w:r w:rsidR="00CC6914" w:rsidRPr="00F17126">
        <w:rPr>
          <w:rFonts w:ascii="Times New Roman" w:hAnsi="Times New Roman" w:cs="Times New Roman"/>
          <w:sz w:val="24"/>
          <w:szCs w:val="24"/>
          <w:lang w:val="en-US"/>
        </w:rPr>
        <w:t>much up</w:t>
      </w:r>
      <w:r w:rsidRPr="00F17126">
        <w:rPr>
          <w:rFonts w:ascii="Times New Roman" w:hAnsi="Times New Roman" w:cs="Times New Roman"/>
          <w:sz w:val="24"/>
          <w:szCs w:val="24"/>
          <w:lang w:val="en-US"/>
        </w:rPr>
        <w:t xml:space="preserve"> to state governments. </w:t>
      </w:r>
      <w:r w:rsidR="00EC7D1B">
        <w:rPr>
          <w:rFonts w:ascii="Times New Roman" w:hAnsi="Times New Roman" w:cs="Times New Roman"/>
          <w:sz w:val="24"/>
          <w:szCs w:val="24"/>
          <w:lang w:val="en-US"/>
        </w:rPr>
        <w:t>It</w:t>
      </w:r>
      <w:r w:rsidRPr="00F17126">
        <w:rPr>
          <w:rFonts w:ascii="Times New Roman" w:hAnsi="Times New Roman" w:cs="Times New Roman"/>
          <w:sz w:val="24"/>
          <w:szCs w:val="24"/>
          <w:lang w:val="en-US"/>
        </w:rPr>
        <w:t xml:space="preserve"> </w:t>
      </w:r>
      <w:r w:rsidR="00CC6914" w:rsidRPr="00F17126">
        <w:rPr>
          <w:rFonts w:ascii="Times New Roman" w:hAnsi="Times New Roman" w:cs="Times New Roman"/>
          <w:sz w:val="24"/>
          <w:szCs w:val="24"/>
          <w:lang w:val="en-US"/>
        </w:rPr>
        <w:t>leav</w:t>
      </w:r>
      <w:r w:rsidRPr="00F17126">
        <w:rPr>
          <w:rFonts w:ascii="Times New Roman" w:hAnsi="Times New Roman" w:cs="Times New Roman"/>
          <w:sz w:val="24"/>
          <w:szCs w:val="24"/>
          <w:lang w:val="en-US"/>
        </w:rPr>
        <w:t xml:space="preserve">es governments </w:t>
      </w:r>
      <w:r w:rsidR="00CC6914" w:rsidRPr="00F17126">
        <w:rPr>
          <w:rFonts w:ascii="Times New Roman" w:hAnsi="Times New Roman" w:cs="Times New Roman"/>
          <w:sz w:val="24"/>
          <w:szCs w:val="24"/>
          <w:lang w:val="en-US"/>
        </w:rPr>
        <w:t xml:space="preserve">with </w:t>
      </w:r>
      <w:r w:rsidRPr="00F17126">
        <w:rPr>
          <w:rFonts w:ascii="Times New Roman" w:hAnsi="Times New Roman" w:cs="Times New Roman"/>
          <w:sz w:val="24"/>
          <w:szCs w:val="24"/>
          <w:lang w:val="en-US"/>
        </w:rPr>
        <w:t>full discretion over d</w:t>
      </w:r>
      <w:r w:rsidR="00CC6914" w:rsidRPr="00F17126">
        <w:rPr>
          <w:rFonts w:ascii="Times New Roman" w:hAnsi="Times New Roman" w:cs="Times New Roman"/>
          <w:sz w:val="24"/>
          <w:szCs w:val="24"/>
          <w:lang w:val="en-US"/>
        </w:rPr>
        <w:t>omestic policies, and rests on “</w:t>
      </w:r>
      <w:r w:rsidRPr="00F17126">
        <w:rPr>
          <w:rFonts w:ascii="Times New Roman" w:hAnsi="Times New Roman" w:cs="Times New Roman"/>
          <w:sz w:val="24"/>
          <w:szCs w:val="24"/>
          <w:lang w:val="en-US"/>
        </w:rPr>
        <w:t>nationally</w:t>
      </w:r>
      <w:r w:rsidR="00CC6914"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determined contributions</w:t>
      </w:r>
      <w:r w:rsidR="00CC6914"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(NDCs) to global climate policy. At the same time, it creates strong obligations to develop, implement</w:t>
      </w:r>
      <w:r w:rsidR="00C740F9"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and regularly strengthen such actions, </w:t>
      </w:r>
      <w:r w:rsidR="00C740F9" w:rsidRPr="00F17126">
        <w:rPr>
          <w:rFonts w:ascii="Times New Roman" w:hAnsi="Times New Roman" w:cs="Times New Roman"/>
          <w:sz w:val="24"/>
          <w:szCs w:val="24"/>
          <w:lang w:val="en-US"/>
        </w:rPr>
        <w:t>while</w:t>
      </w:r>
      <w:r w:rsidRPr="00F17126">
        <w:rPr>
          <w:rFonts w:ascii="Times New Roman" w:hAnsi="Times New Roman" w:cs="Times New Roman"/>
          <w:sz w:val="24"/>
          <w:szCs w:val="24"/>
          <w:lang w:val="en-US"/>
        </w:rPr>
        <w:t xml:space="preserve"> subject</w:t>
      </w:r>
      <w:r w:rsidR="00C740F9" w:rsidRPr="00F17126">
        <w:rPr>
          <w:rFonts w:ascii="Times New Roman" w:hAnsi="Times New Roman" w:cs="Times New Roman"/>
          <w:sz w:val="24"/>
          <w:szCs w:val="24"/>
          <w:lang w:val="en-US"/>
        </w:rPr>
        <w:t>ing</w:t>
      </w:r>
      <w:r w:rsidRPr="00F17126">
        <w:rPr>
          <w:rFonts w:ascii="Times New Roman" w:hAnsi="Times New Roman" w:cs="Times New Roman"/>
          <w:sz w:val="24"/>
          <w:szCs w:val="24"/>
          <w:lang w:val="en-US"/>
        </w:rPr>
        <w:t xml:space="preserve"> national policies to a robust system of international oversight.</w:t>
      </w:r>
    </w:p>
    <w:p w14:paraId="3A083B6C" w14:textId="3F8F62C4" w:rsidR="00F53A8B" w:rsidRPr="00F17126" w:rsidRDefault="00F53A8B" w:rsidP="009C477E">
      <w:pPr>
        <w:spacing w:after="120" w:line="360" w:lineRule="auto"/>
        <w:ind w:firstLine="708"/>
        <w:rPr>
          <w:rFonts w:ascii="Times New Roman" w:hAnsi="Times New Roman" w:cs="Times New Roman"/>
          <w:sz w:val="24"/>
          <w:szCs w:val="24"/>
          <w:lang w:val="en-US"/>
        </w:rPr>
      </w:pPr>
      <w:r w:rsidRPr="00F17126">
        <w:rPr>
          <w:rFonts w:ascii="Times New Roman" w:hAnsi="Times New Roman" w:cs="Times New Roman"/>
          <w:sz w:val="24"/>
          <w:szCs w:val="24"/>
          <w:lang w:val="en-US"/>
        </w:rPr>
        <w:t>Key provisions include a global objective of holding the temperature increase to “well below 2°</w:t>
      </w:r>
      <w:r w:rsidR="003626F3"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C” and a commitment to “pursue efforts to limit the temperature increase to 1.5°</w:t>
      </w:r>
      <w:r w:rsidR="003626F3"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C” (Art. 2). The long-term policy goal</w:t>
      </w:r>
      <w:r w:rsidR="00C740F9" w:rsidRPr="00F17126">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w:t>
      </w:r>
      <w:r w:rsidR="00C740F9" w:rsidRPr="00F17126">
        <w:rPr>
          <w:rFonts w:ascii="Times New Roman" w:hAnsi="Times New Roman" w:cs="Times New Roman"/>
          <w:sz w:val="24"/>
          <w:szCs w:val="24"/>
          <w:lang w:val="en-US"/>
        </w:rPr>
        <w:t>are</w:t>
      </w:r>
      <w:r w:rsidRPr="00F17126">
        <w:rPr>
          <w:rFonts w:ascii="Times New Roman" w:hAnsi="Times New Roman" w:cs="Times New Roman"/>
          <w:sz w:val="24"/>
          <w:szCs w:val="24"/>
          <w:lang w:val="en-US"/>
        </w:rPr>
        <w:t xml:space="preserve"> </w:t>
      </w:r>
      <w:r w:rsidR="00C740F9" w:rsidRPr="00F17126">
        <w:rPr>
          <w:rFonts w:ascii="Times New Roman" w:hAnsi="Times New Roman" w:cs="Times New Roman"/>
          <w:sz w:val="24"/>
          <w:szCs w:val="24"/>
          <w:lang w:val="en-US"/>
        </w:rPr>
        <w:t xml:space="preserve">to reach peak </w:t>
      </w:r>
      <w:r w:rsidR="00E04F11">
        <w:rPr>
          <w:rFonts w:ascii="Times New Roman" w:hAnsi="Times New Roman" w:cs="Times New Roman"/>
          <w:sz w:val="24"/>
          <w:szCs w:val="24"/>
          <w:lang w:val="en-US"/>
        </w:rPr>
        <w:t xml:space="preserve">global </w:t>
      </w:r>
      <w:r w:rsidR="00C740F9" w:rsidRPr="00F17126">
        <w:rPr>
          <w:rFonts w:ascii="Times New Roman" w:hAnsi="Times New Roman" w:cs="Times New Roman"/>
          <w:sz w:val="24"/>
          <w:szCs w:val="24"/>
          <w:lang w:val="en-US"/>
        </w:rPr>
        <w:t xml:space="preserve">emissions “as soon as possible” and </w:t>
      </w:r>
      <w:r w:rsidRPr="00F17126">
        <w:rPr>
          <w:rFonts w:ascii="Times New Roman" w:hAnsi="Times New Roman" w:cs="Times New Roman"/>
          <w:sz w:val="24"/>
          <w:szCs w:val="24"/>
          <w:lang w:val="en-US"/>
        </w:rPr>
        <w:t>to achieve zero net emissions in the second half of th</w:t>
      </w:r>
      <w:r w:rsidR="00C740F9" w:rsidRPr="00F17126">
        <w:rPr>
          <w:rFonts w:ascii="Times New Roman" w:hAnsi="Times New Roman" w:cs="Times New Roman"/>
          <w:sz w:val="24"/>
          <w:szCs w:val="24"/>
          <w:lang w:val="en-US"/>
        </w:rPr>
        <w:t>is</w:t>
      </w:r>
      <w:r w:rsidRPr="00F17126">
        <w:rPr>
          <w:rFonts w:ascii="Times New Roman" w:hAnsi="Times New Roman" w:cs="Times New Roman"/>
          <w:sz w:val="24"/>
          <w:szCs w:val="24"/>
          <w:lang w:val="en-US"/>
        </w:rPr>
        <w:t xml:space="preserve"> century (Art. 4.1). This vague language is balanced by binding clauses on national actions: “Each Party shall prepare, communicate and maintain successive nationally determined contributions that it intends to achieve” (Art. 4.2). Domestic policy programs are subject to a strong transparency and monitoring system that places extensive informational requirements on countries (Art. 13)</w:t>
      </w:r>
      <w:r w:rsidR="00A6018A" w:rsidRPr="00F17126">
        <w:rPr>
          <w:rFonts w:ascii="Times New Roman" w:hAnsi="Times New Roman" w:cs="Times New Roman"/>
          <w:sz w:val="24"/>
          <w:szCs w:val="24"/>
          <w:lang w:val="en-US"/>
        </w:rPr>
        <w:t>. In particular</w:t>
      </w:r>
      <w:r w:rsidRPr="00F17126">
        <w:rPr>
          <w:rFonts w:ascii="Times New Roman" w:hAnsi="Times New Roman" w:cs="Times New Roman"/>
          <w:sz w:val="24"/>
          <w:szCs w:val="24"/>
          <w:lang w:val="en-US"/>
        </w:rPr>
        <w:t xml:space="preserve">, </w:t>
      </w:r>
      <w:r w:rsidR="00A6018A" w:rsidRPr="00F17126">
        <w:rPr>
          <w:rFonts w:ascii="Times New Roman" w:hAnsi="Times New Roman" w:cs="Times New Roman"/>
          <w:sz w:val="24"/>
          <w:szCs w:val="24"/>
          <w:lang w:val="en-US"/>
        </w:rPr>
        <w:t xml:space="preserve">requirements </w:t>
      </w:r>
      <w:r w:rsidRPr="00F17126">
        <w:rPr>
          <w:rFonts w:ascii="Times New Roman" w:hAnsi="Times New Roman" w:cs="Times New Roman"/>
          <w:sz w:val="24"/>
          <w:szCs w:val="24"/>
          <w:lang w:val="en-US"/>
        </w:rPr>
        <w:t>related to mitigation are defined in the strongest possible legal language (</w:t>
      </w:r>
      <w:r w:rsidR="003028BC">
        <w:rPr>
          <w:rFonts w:ascii="Times New Roman" w:hAnsi="Times New Roman" w:cs="Times New Roman"/>
          <w:sz w:val="24"/>
          <w:szCs w:val="24"/>
          <w:lang w:val="en-US"/>
        </w:rPr>
        <w:t>“</w:t>
      </w:r>
      <w:r w:rsidRPr="00F17126">
        <w:rPr>
          <w:rFonts w:ascii="Times New Roman" w:hAnsi="Times New Roman" w:cs="Times New Roman"/>
          <w:sz w:val="24"/>
          <w:szCs w:val="24"/>
          <w:lang w:val="en-US"/>
        </w:rPr>
        <w:t>each Party shall</w:t>
      </w:r>
      <w:r w:rsidR="003028BC">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w:t>
      </w:r>
      <w:r w:rsidR="00C740F9" w:rsidRPr="00F17126">
        <w:rPr>
          <w:rFonts w:ascii="Times New Roman" w:hAnsi="Times New Roman" w:cs="Times New Roman"/>
          <w:sz w:val="24"/>
          <w:szCs w:val="24"/>
          <w:lang w:val="en-US"/>
        </w:rPr>
        <w:t>Recorded in a public registry maintained in Bonn, Germany, n</w:t>
      </w:r>
      <w:r w:rsidRPr="00F17126">
        <w:rPr>
          <w:rFonts w:ascii="Times New Roman" w:hAnsi="Times New Roman" w:cs="Times New Roman"/>
          <w:sz w:val="24"/>
          <w:szCs w:val="24"/>
          <w:lang w:val="en-US"/>
        </w:rPr>
        <w:t>ational plans and targets are open to international scrutiny.</w:t>
      </w:r>
    </w:p>
    <w:p w14:paraId="68DC7DEA" w14:textId="48DC6CB2" w:rsidR="00F53A8B" w:rsidRPr="00F17126" w:rsidRDefault="00F53A8B" w:rsidP="009C477E">
      <w:pPr>
        <w:spacing w:after="120" w:line="360" w:lineRule="auto"/>
        <w:ind w:firstLine="708"/>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Notably, the PA is programmed to grow stronger </w:t>
      </w:r>
      <w:r w:rsidR="00A6018A" w:rsidRPr="00F17126">
        <w:rPr>
          <w:rFonts w:ascii="Times New Roman" w:hAnsi="Times New Roman" w:cs="Times New Roman"/>
          <w:sz w:val="24"/>
          <w:szCs w:val="24"/>
          <w:lang w:val="en-US"/>
        </w:rPr>
        <w:t>by</w:t>
      </w:r>
      <w:r w:rsidRPr="00F17126">
        <w:rPr>
          <w:rFonts w:ascii="Times New Roman" w:hAnsi="Times New Roman" w:cs="Times New Roman"/>
          <w:sz w:val="24"/>
          <w:szCs w:val="24"/>
          <w:lang w:val="en-US"/>
        </w:rPr>
        <w:t xml:space="preserve"> requir</w:t>
      </w:r>
      <w:r w:rsidR="00A6018A" w:rsidRPr="00F17126">
        <w:rPr>
          <w:rFonts w:ascii="Times New Roman" w:hAnsi="Times New Roman" w:cs="Times New Roman"/>
          <w:sz w:val="24"/>
          <w:szCs w:val="24"/>
          <w:lang w:val="en-US"/>
        </w:rPr>
        <w:t>ing</w:t>
      </w:r>
      <w:r w:rsidRPr="00F17126">
        <w:rPr>
          <w:rFonts w:ascii="Times New Roman" w:hAnsi="Times New Roman" w:cs="Times New Roman"/>
          <w:sz w:val="24"/>
          <w:szCs w:val="24"/>
          <w:lang w:val="en-US"/>
        </w:rPr>
        <w:t xml:space="preserve"> countries to revise domestic policy plans </w:t>
      </w:r>
      <w:r w:rsidR="00C740F9" w:rsidRPr="00F17126">
        <w:rPr>
          <w:rFonts w:ascii="Times New Roman" w:hAnsi="Times New Roman" w:cs="Times New Roman"/>
          <w:sz w:val="24"/>
          <w:szCs w:val="24"/>
          <w:lang w:val="en-US"/>
        </w:rPr>
        <w:t xml:space="preserve">and adopt more stringent targets </w:t>
      </w:r>
      <w:r w:rsidRPr="00F17126">
        <w:rPr>
          <w:rFonts w:ascii="Times New Roman" w:hAnsi="Times New Roman" w:cs="Times New Roman"/>
          <w:sz w:val="24"/>
          <w:szCs w:val="24"/>
          <w:lang w:val="en-US"/>
        </w:rPr>
        <w:t xml:space="preserve">every five years, with strongly worded language </w:t>
      </w:r>
      <w:r w:rsidR="00C740F9" w:rsidRPr="00F17126">
        <w:rPr>
          <w:rFonts w:ascii="Times New Roman" w:hAnsi="Times New Roman" w:cs="Times New Roman"/>
          <w:sz w:val="24"/>
          <w:szCs w:val="24"/>
          <w:lang w:val="en-US"/>
        </w:rPr>
        <w:t>intended to</w:t>
      </w:r>
      <w:r w:rsidRPr="00F17126">
        <w:rPr>
          <w:rFonts w:ascii="Times New Roman" w:hAnsi="Times New Roman" w:cs="Times New Roman"/>
          <w:sz w:val="24"/>
          <w:szCs w:val="24"/>
          <w:lang w:val="en-US"/>
        </w:rPr>
        <w:t xml:space="preserve"> guarantee</w:t>
      </w:r>
      <w:r w:rsidR="00C740F9" w:rsidRPr="00F17126">
        <w:rPr>
          <w:rFonts w:ascii="Times New Roman" w:hAnsi="Times New Roman" w:cs="Times New Roman"/>
          <w:sz w:val="24"/>
          <w:szCs w:val="24"/>
          <w:lang w:val="en-US"/>
        </w:rPr>
        <w:t xml:space="preserve"> policy “progression”</w:t>
      </w:r>
      <w:r w:rsidRPr="00F17126">
        <w:rPr>
          <w:rFonts w:ascii="Times New Roman" w:hAnsi="Times New Roman" w:cs="Times New Roman"/>
          <w:sz w:val="24"/>
          <w:szCs w:val="24"/>
          <w:lang w:val="en-US"/>
        </w:rPr>
        <w:t xml:space="preserve"> ov</w:t>
      </w:r>
      <w:r w:rsidR="00C740F9" w:rsidRPr="00F17126">
        <w:rPr>
          <w:rFonts w:ascii="Times New Roman" w:hAnsi="Times New Roman" w:cs="Times New Roman"/>
          <w:sz w:val="24"/>
          <w:szCs w:val="24"/>
          <w:lang w:val="en-US"/>
        </w:rPr>
        <w:t>er time (Art. 4.3). This “</w:t>
      </w:r>
      <w:r w:rsidRPr="00F17126">
        <w:rPr>
          <w:rFonts w:ascii="Times New Roman" w:hAnsi="Times New Roman" w:cs="Times New Roman"/>
          <w:sz w:val="24"/>
          <w:szCs w:val="24"/>
          <w:lang w:val="en-US"/>
        </w:rPr>
        <w:t>ratcheting mechanism</w:t>
      </w:r>
      <w:r w:rsidR="00C740F9"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was extensively negotiated over several years, with strong support from the </w:t>
      </w:r>
      <w:r w:rsidR="008F7F61">
        <w:rPr>
          <w:rFonts w:ascii="Times New Roman" w:hAnsi="Times New Roman" w:cs="Times New Roman"/>
          <w:sz w:val="24"/>
          <w:szCs w:val="24"/>
          <w:lang w:val="en-US"/>
        </w:rPr>
        <w:t>European Union</w:t>
      </w:r>
      <w:r w:rsidRPr="00F17126">
        <w:rPr>
          <w:rFonts w:ascii="Times New Roman" w:hAnsi="Times New Roman" w:cs="Times New Roman"/>
          <w:sz w:val="24"/>
          <w:szCs w:val="24"/>
          <w:lang w:val="en-US"/>
        </w:rPr>
        <w:t>, Brazil</w:t>
      </w:r>
      <w:r w:rsidR="00C740F9"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and others. </w:t>
      </w:r>
      <w:r w:rsidR="00C740F9" w:rsidRPr="00F17126">
        <w:rPr>
          <w:rFonts w:ascii="Times New Roman" w:hAnsi="Times New Roman" w:cs="Times New Roman"/>
          <w:sz w:val="24"/>
          <w:szCs w:val="24"/>
          <w:lang w:val="en-US"/>
        </w:rPr>
        <w:t>Aiming for ever-accelerating policy actions by countries and constant evolution of the global policy regime, t</w:t>
      </w:r>
      <w:r w:rsidRPr="00F17126">
        <w:rPr>
          <w:rFonts w:ascii="Times New Roman" w:hAnsi="Times New Roman" w:cs="Times New Roman"/>
          <w:sz w:val="24"/>
          <w:szCs w:val="24"/>
          <w:lang w:val="en-US"/>
        </w:rPr>
        <w:t xml:space="preserve">hese provisions </w:t>
      </w:r>
      <w:r w:rsidR="00D51ABB" w:rsidRPr="00F17126">
        <w:rPr>
          <w:rFonts w:ascii="Times New Roman" w:hAnsi="Times New Roman" w:cs="Times New Roman"/>
          <w:sz w:val="24"/>
          <w:szCs w:val="24"/>
          <w:lang w:val="en-US"/>
        </w:rPr>
        <w:t xml:space="preserve">could </w:t>
      </w:r>
      <w:r w:rsidRPr="00F17126">
        <w:rPr>
          <w:rFonts w:ascii="Times New Roman" w:hAnsi="Times New Roman" w:cs="Times New Roman"/>
          <w:sz w:val="24"/>
          <w:szCs w:val="24"/>
          <w:lang w:val="en-US"/>
        </w:rPr>
        <w:t>have enormous significance</w:t>
      </w:r>
      <w:r w:rsidR="00C740F9"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(Dimitrov</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w:t>
      </w:r>
      <w:r w:rsidR="00610246">
        <w:rPr>
          <w:rFonts w:ascii="Times New Roman" w:hAnsi="Times New Roman" w:cs="Times New Roman"/>
          <w:sz w:val="24"/>
          <w:szCs w:val="24"/>
          <w:lang w:val="en-US"/>
        </w:rPr>
        <w:t>, p.</w:t>
      </w:r>
      <w:r w:rsidRPr="00F17126">
        <w:rPr>
          <w:rFonts w:ascii="Times New Roman" w:hAnsi="Times New Roman" w:cs="Times New Roman"/>
          <w:sz w:val="24"/>
          <w:szCs w:val="24"/>
          <w:lang w:val="en-US"/>
        </w:rPr>
        <w:t xml:space="preserve"> 2; Rajamani</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w:t>
      </w:r>
      <w:r w:rsidRPr="00F17126">
        <w:rPr>
          <w:rFonts w:ascii="Times New Roman" w:hAnsi="Times New Roman" w:cs="Times New Roman"/>
          <w:sz w:val="24"/>
          <w:szCs w:val="24"/>
          <w:lang w:val="en-US"/>
        </w:rPr>
        <w:t xml:space="preserve"> 501). A global stocktake of collective progress </w:t>
      </w:r>
      <w:r w:rsidR="00C740F9" w:rsidRPr="00F17126">
        <w:rPr>
          <w:rFonts w:ascii="Times New Roman" w:hAnsi="Times New Roman" w:cs="Times New Roman"/>
          <w:sz w:val="24"/>
          <w:szCs w:val="24"/>
          <w:lang w:val="en-US"/>
        </w:rPr>
        <w:t>shall</w:t>
      </w:r>
      <w:r w:rsidRPr="00F17126">
        <w:rPr>
          <w:rFonts w:ascii="Times New Roman" w:hAnsi="Times New Roman" w:cs="Times New Roman"/>
          <w:sz w:val="24"/>
          <w:szCs w:val="24"/>
          <w:lang w:val="en-US"/>
        </w:rPr>
        <w:t xml:space="preserve"> be conducted in 2023 and every </w:t>
      </w:r>
      <w:r w:rsidR="005D6ADA">
        <w:rPr>
          <w:rFonts w:ascii="Times New Roman" w:hAnsi="Times New Roman" w:cs="Times New Roman"/>
          <w:sz w:val="24"/>
          <w:szCs w:val="24"/>
          <w:lang w:val="en-US"/>
        </w:rPr>
        <w:t>five</w:t>
      </w:r>
      <w:r w:rsidRPr="00F17126">
        <w:rPr>
          <w:rFonts w:ascii="Times New Roman" w:hAnsi="Times New Roman" w:cs="Times New Roman"/>
          <w:sz w:val="24"/>
          <w:szCs w:val="24"/>
          <w:lang w:val="en-US"/>
        </w:rPr>
        <w:t xml:space="preserve"> years thereafter, presumably to inform </w:t>
      </w:r>
      <w:r w:rsidRPr="00F17126">
        <w:rPr>
          <w:rFonts w:ascii="Times New Roman" w:hAnsi="Times New Roman" w:cs="Times New Roman"/>
          <w:sz w:val="24"/>
          <w:szCs w:val="24"/>
          <w:lang w:val="en-US"/>
        </w:rPr>
        <w:lastRenderedPageBreak/>
        <w:t xml:space="preserve">countries’ future policymaking. The </w:t>
      </w:r>
      <w:r w:rsidR="00820E85" w:rsidRPr="00F17126">
        <w:rPr>
          <w:rFonts w:ascii="Times New Roman" w:hAnsi="Times New Roman" w:cs="Times New Roman"/>
          <w:sz w:val="24"/>
          <w:szCs w:val="24"/>
          <w:lang w:val="en-US"/>
        </w:rPr>
        <w:t>PA</w:t>
      </w:r>
      <w:r w:rsidRPr="00F17126">
        <w:rPr>
          <w:rFonts w:ascii="Times New Roman" w:hAnsi="Times New Roman" w:cs="Times New Roman"/>
          <w:sz w:val="24"/>
          <w:szCs w:val="24"/>
          <w:lang w:val="en-US"/>
        </w:rPr>
        <w:t xml:space="preserve"> is also subject to </w:t>
      </w:r>
      <w:r w:rsidR="00015B6B" w:rsidRPr="00F17126">
        <w:rPr>
          <w:rFonts w:ascii="Times New Roman" w:hAnsi="Times New Roman" w:cs="Times New Roman"/>
          <w:sz w:val="24"/>
          <w:szCs w:val="24"/>
          <w:lang w:val="en-US"/>
        </w:rPr>
        <w:t xml:space="preserve">further </w:t>
      </w:r>
      <w:r w:rsidRPr="00F17126">
        <w:rPr>
          <w:rFonts w:ascii="Times New Roman" w:hAnsi="Times New Roman" w:cs="Times New Roman"/>
          <w:sz w:val="24"/>
          <w:szCs w:val="24"/>
          <w:lang w:val="en-US"/>
        </w:rPr>
        <w:t>negotiation</w:t>
      </w:r>
      <w:r w:rsidR="00015B6B" w:rsidRPr="00F17126">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Currently, governments are conducting negotiations on the “rulebook” for implementation policies </w:t>
      </w:r>
      <w:r w:rsidR="005D6ADA">
        <w:rPr>
          <w:rFonts w:ascii="Times New Roman" w:hAnsi="Times New Roman" w:cs="Times New Roman"/>
          <w:sz w:val="24"/>
          <w:szCs w:val="24"/>
          <w:lang w:val="en-US"/>
        </w:rPr>
        <w:t>remaining</w:t>
      </w:r>
      <w:r w:rsidRPr="00F17126">
        <w:rPr>
          <w:rFonts w:ascii="Times New Roman" w:hAnsi="Times New Roman" w:cs="Times New Roman"/>
          <w:sz w:val="24"/>
          <w:szCs w:val="24"/>
          <w:lang w:val="en-US"/>
        </w:rPr>
        <w:t xml:space="preserve"> to be finalized in 2018 </w:t>
      </w:r>
      <w:r w:rsidR="00C740F9" w:rsidRPr="00F17126">
        <w:rPr>
          <w:rFonts w:ascii="Times New Roman" w:hAnsi="Times New Roman" w:cs="Times New Roman"/>
          <w:sz w:val="24"/>
          <w:szCs w:val="24"/>
          <w:lang w:val="en-US"/>
        </w:rPr>
        <w:t>or</w:t>
      </w:r>
      <w:r w:rsidRPr="00F17126">
        <w:rPr>
          <w:rFonts w:ascii="Times New Roman" w:hAnsi="Times New Roman" w:cs="Times New Roman"/>
          <w:sz w:val="24"/>
          <w:szCs w:val="24"/>
          <w:lang w:val="en-US"/>
        </w:rPr>
        <w:t xml:space="preserve"> possibly 2019. </w:t>
      </w:r>
    </w:p>
    <w:p w14:paraId="6DD7787C" w14:textId="5A922F88" w:rsidR="00F53A8B" w:rsidRPr="00F17126" w:rsidRDefault="008B2D40" w:rsidP="009C477E">
      <w:pPr>
        <w:spacing w:after="12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PA’s strengths</w:t>
      </w:r>
      <w:r w:rsidR="00F53A8B" w:rsidRPr="00F17126">
        <w:rPr>
          <w:rFonts w:ascii="Times New Roman" w:hAnsi="Times New Roman" w:cs="Times New Roman"/>
          <w:sz w:val="24"/>
          <w:szCs w:val="24"/>
          <w:lang w:val="en-US"/>
        </w:rPr>
        <w:t xml:space="preserve"> </w:t>
      </w:r>
      <w:r w:rsidR="00C740F9" w:rsidRPr="00F17126">
        <w:rPr>
          <w:rFonts w:ascii="Times New Roman" w:hAnsi="Times New Roman" w:cs="Times New Roman"/>
          <w:sz w:val="24"/>
          <w:szCs w:val="24"/>
          <w:lang w:val="en-US"/>
        </w:rPr>
        <w:t>include</w:t>
      </w:r>
      <w:r w:rsidR="00F53A8B" w:rsidRPr="00F17126">
        <w:rPr>
          <w:rFonts w:ascii="Times New Roman" w:hAnsi="Times New Roman" w:cs="Times New Roman"/>
          <w:sz w:val="24"/>
          <w:szCs w:val="24"/>
          <w:lang w:val="en-US"/>
        </w:rPr>
        <w:t xml:space="preserve"> principled obligations to act, regularity and progression of national policy development, </w:t>
      </w:r>
      <w:r w:rsidR="00C740F9" w:rsidRPr="00F17126">
        <w:rPr>
          <w:rFonts w:ascii="Times New Roman" w:hAnsi="Times New Roman" w:cs="Times New Roman"/>
          <w:sz w:val="24"/>
          <w:szCs w:val="24"/>
          <w:lang w:val="en-US"/>
        </w:rPr>
        <w:t>as well as provisions for</w:t>
      </w:r>
      <w:r w:rsidR="00D51ABB" w:rsidRPr="00F17126">
        <w:rPr>
          <w:rFonts w:ascii="Times New Roman" w:hAnsi="Times New Roman" w:cs="Times New Roman"/>
          <w:sz w:val="24"/>
          <w:szCs w:val="24"/>
          <w:lang w:val="en-US"/>
        </w:rPr>
        <w:t xml:space="preserve"> </w:t>
      </w:r>
      <w:r w:rsidR="00F53A8B" w:rsidRPr="00F17126">
        <w:rPr>
          <w:rFonts w:ascii="Times New Roman" w:hAnsi="Times New Roman" w:cs="Times New Roman"/>
          <w:sz w:val="24"/>
          <w:szCs w:val="24"/>
          <w:lang w:val="en-US"/>
        </w:rPr>
        <w:t xml:space="preserve">international transparency and accountability. The </w:t>
      </w:r>
      <w:r w:rsidR="00A6018A" w:rsidRPr="00F17126">
        <w:rPr>
          <w:rFonts w:ascii="Times New Roman" w:hAnsi="Times New Roman" w:cs="Times New Roman"/>
          <w:sz w:val="24"/>
          <w:szCs w:val="24"/>
          <w:lang w:val="en-US"/>
        </w:rPr>
        <w:t>agreement</w:t>
      </w:r>
      <w:r w:rsidR="00F53A8B" w:rsidRPr="00F17126">
        <w:rPr>
          <w:rFonts w:ascii="Times New Roman" w:hAnsi="Times New Roman" w:cs="Times New Roman"/>
          <w:sz w:val="24"/>
          <w:szCs w:val="24"/>
          <w:lang w:val="en-US"/>
        </w:rPr>
        <w:t xml:space="preserve"> is weaker on the long-term global goal</w:t>
      </w:r>
      <w:r w:rsidR="00D51ABB" w:rsidRPr="00F17126">
        <w:rPr>
          <w:rFonts w:ascii="Times New Roman" w:hAnsi="Times New Roman" w:cs="Times New Roman"/>
          <w:sz w:val="24"/>
          <w:szCs w:val="24"/>
          <w:lang w:val="en-US"/>
        </w:rPr>
        <w:t xml:space="preserve"> for emission reductions</w:t>
      </w:r>
      <w:r w:rsidR="00F53A8B" w:rsidRPr="00F17126">
        <w:rPr>
          <w:rFonts w:ascii="Times New Roman" w:hAnsi="Times New Roman" w:cs="Times New Roman"/>
          <w:sz w:val="24"/>
          <w:szCs w:val="24"/>
          <w:lang w:val="en-US"/>
        </w:rPr>
        <w:t xml:space="preserve">, adaptation policy, liability and compensation for climate impacts, and technology transfer. Politically, the PA </w:t>
      </w:r>
      <w:r w:rsidR="00C740F9" w:rsidRPr="00F17126">
        <w:rPr>
          <w:rFonts w:ascii="Times New Roman" w:hAnsi="Times New Roman" w:cs="Times New Roman"/>
          <w:sz w:val="24"/>
          <w:szCs w:val="24"/>
          <w:lang w:val="en-US"/>
        </w:rPr>
        <w:t>arguably</w:t>
      </w:r>
      <w:r w:rsidR="00F53A8B" w:rsidRPr="00F17126">
        <w:rPr>
          <w:rFonts w:ascii="Times New Roman" w:hAnsi="Times New Roman" w:cs="Times New Roman"/>
          <w:sz w:val="24"/>
          <w:szCs w:val="24"/>
          <w:lang w:val="en-US"/>
        </w:rPr>
        <w:t xml:space="preserve"> favors developed countries of the North, who won most </w:t>
      </w:r>
      <w:r w:rsidR="002B3DB5">
        <w:rPr>
          <w:rFonts w:ascii="Times New Roman" w:hAnsi="Times New Roman" w:cs="Times New Roman"/>
          <w:sz w:val="24"/>
          <w:szCs w:val="24"/>
          <w:lang w:val="en-US"/>
        </w:rPr>
        <w:t>major</w:t>
      </w:r>
      <w:r w:rsidR="002B3DB5" w:rsidRPr="00F17126">
        <w:rPr>
          <w:rFonts w:ascii="Times New Roman" w:hAnsi="Times New Roman" w:cs="Times New Roman"/>
          <w:sz w:val="24"/>
          <w:szCs w:val="24"/>
          <w:lang w:val="en-US"/>
        </w:rPr>
        <w:t xml:space="preserve"> </w:t>
      </w:r>
      <w:r w:rsidR="00F53A8B" w:rsidRPr="00F17126">
        <w:rPr>
          <w:rFonts w:ascii="Times New Roman" w:hAnsi="Times New Roman" w:cs="Times New Roman"/>
          <w:sz w:val="24"/>
          <w:szCs w:val="24"/>
          <w:lang w:val="en-US"/>
        </w:rPr>
        <w:t>battles</w:t>
      </w:r>
      <w:r w:rsidR="00D51ABB" w:rsidRPr="00F17126">
        <w:rPr>
          <w:rFonts w:ascii="Times New Roman" w:hAnsi="Times New Roman" w:cs="Times New Roman"/>
          <w:sz w:val="24"/>
          <w:szCs w:val="24"/>
          <w:lang w:val="en-US"/>
        </w:rPr>
        <w:t xml:space="preserve"> (Andr</w:t>
      </w:r>
      <w:r w:rsidR="00F16F4A">
        <w:rPr>
          <w:rFonts w:ascii="Times New Roman" w:hAnsi="Times New Roman" w:cs="Times New Roman"/>
          <w:sz w:val="24"/>
          <w:szCs w:val="24"/>
          <w:lang w:val="en-US"/>
        </w:rPr>
        <w:t>e</w:t>
      </w:r>
      <w:r w:rsidR="00D51ABB" w:rsidRPr="00F17126">
        <w:rPr>
          <w:rFonts w:ascii="Times New Roman" w:hAnsi="Times New Roman" w:cs="Times New Roman"/>
          <w:sz w:val="24"/>
          <w:szCs w:val="24"/>
          <w:lang w:val="en-US"/>
        </w:rPr>
        <w:t>sen</w:t>
      </w:r>
      <w:r w:rsidR="00D11EA5" w:rsidRPr="00F17126">
        <w:rPr>
          <w:rFonts w:ascii="Times New Roman" w:hAnsi="Times New Roman" w:cs="Times New Roman"/>
          <w:sz w:val="24"/>
          <w:szCs w:val="24"/>
          <w:lang w:val="en-US"/>
        </w:rPr>
        <w:t>,</w:t>
      </w:r>
      <w:r w:rsidR="00D51ABB" w:rsidRPr="00F17126">
        <w:rPr>
          <w:rFonts w:ascii="Times New Roman" w:hAnsi="Times New Roman" w:cs="Times New Roman"/>
          <w:sz w:val="24"/>
          <w:szCs w:val="24"/>
          <w:lang w:val="en-US"/>
        </w:rPr>
        <w:t xml:space="preserve"> 201</w:t>
      </w:r>
      <w:r w:rsidR="00F16F4A">
        <w:rPr>
          <w:rFonts w:ascii="Times New Roman" w:hAnsi="Times New Roman" w:cs="Times New Roman"/>
          <w:sz w:val="24"/>
          <w:szCs w:val="24"/>
          <w:lang w:val="en-US"/>
        </w:rPr>
        <w:t>5</w:t>
      </w:r>
      <w:r w:rsidR="00D51ABB" w:rsidRPr="00F17126">
        <w:rPr>
          <w:rFonts w:ascii="Times New Roman" w:hAnsi="Times New Roman" w:cs="Times New Roman"/>
          <w:sz w:val="24"/>
          <w:szCs w:val="24"/>
          <w:lang w:val="en-US"/>
        </w:rPr>
        <w:t>; Bodansky</w:t>
      </w:r>
      <w:r w:rsidR="00D11EA5" w:rsidRPr="00F17126">
        <w:rPr>
          <w:rFonts w:ascii="Times New Roman" w:hAnsi="Times New Roman" w:cs="Times New Roman"/>
          <w:sz w:val="24"/>
          <w:szCs w:val="24"/>
          <w:lang w:val="en-US"/>
        </w:rPr>
        <w:t>,</w:t>
      </w:r>
      <w:r w:rsidR="00D51ABB" w:rsidRPr="00F17126">
        <w:rPr>
          <w:rFonts w:ascii="Times New Roman" w:hAnsi="Times New Roman" w:cs="Times New Roman"/>
          <w:sz w:val="24"/>
          <w:szCs w:val="24"/>
          <w:lang w:val="en-US"/>
        </w:rPr>
        <w:t xml:space="preserve"> 2016; Dimitrov</w:t>
      </w:r>
      <w:r w:rsidR="00D11EA5" w:rsidRPr="00F17126">
        <w:rPr>
          <w:rFonts w:ascii="Times New Roman" w:hAnsi="Times New Roman" w:cs="Times New Roman"/>
          <w:sz w:val="24"/>
          <w:szCs w:val="24"/>
          <w:lang w:val="en-US"/>
        </w:rPr>
        <w:t>,</w:t>
      </w:r>
      <w:r w:rsidR="00D51ABB" w:rsidRPr="00F17126">
        <w:rPr>
          <w:rFonts w:ascii="Times New Roman" w:hAnsi="Times New Roman" w:cs="Times New Roman"/>
          <w:sz w:val="24"/>
          <w:szCs w:val="24"/>
          <w:lang w:val="en-US"/>
        </w:rPr>
        <w:t xml:space="preserve"> 2016)</w:t>
      </w:r>
      <w:r w:rsidR="00F53A8B" w:rsidRPr="00F17126">
        <w:rPr>
          <w:rFonts w:ascii="Times New Roman" w:hAnsi="Times New Roman" w:cs="Times New Roman"/>
          <w:sz w:val="24"/>
          <w:szCs w:val="24"/>
          <w:lang w:val="en-US"/>
        </w:rPr>
        <w:t xml:space="preserve">. The new climate deal meets all key demands of the </w:t>
      </w:r>
      <w:r w:rsidR="008F7F61">
        <w:rPr>
          <w:rFonts w:ascii="Times New Roman" w:hAnsi="Times New Roman" w:cs="Times New Roman"/>
          <w:sz w:val="24"/>
          <w:szCs w:val="24"/>
          <w:lang w:val="en-US"/>
        </w:rPr>
        <w:t>United States</w:t>
      </w:r>
      <w:r w:rsidR="0058790D" w:rsidRPr="00F17126">
        <w:rPr>
          <w:rFonts w:ascii="Times New Roman" w:hAnsi="Times New Roman" w:cs="Times New Roman"/>
          <w:sz w:val="24"/>
          <w:szCs w:val="24"/>
          <w:lang w:val="en-US"/>
        </w:rPr>
        <w:t xml:space="preserve">, while being </w:t>
      </w:r>
      <w:r w:rsidR="00F53A8B" w:rsidRPr="00F17126">
        <w:rPr>
          <w:rFonts w:ascii="Times New Roman" w:hAnsi="Times New Roman" w:cs="Times New Roman"/>
          <w:sz w:val="24"/>
          <w:szCs w:val="24"/>
          <w:lang w:val="en-US"/>
        </w:rPr>
        <w:t>least fair to the African Group and other Least Developed Countries</w:t>
      </w:r>
      <w:r w:rsidR="0058790D" w:rsidRPr="00F17126">
        <w:rPr>
          <w:rFonts w:ascii="Times New Roman" w:hAnsi="Times New Roman" w:cs="Times New Roman"/>
          <w:sz w:val="24"/>
          <w:szCs w:val="24"/>
          <w:lang w:val="en-US"/>
        </w:rPr>
        <w:t xml:space="preserve"> by </w:t>
      </w:r>
      <w:r w:rsidR="00F53A8B" w:rsidRPr="00F17126">
        <w:rPr>
          <w:rFonts w:ascii="Times New Roman" w:hAnsi="Times New Roman" w:cs="Times New Roman"/>
          <w:sz w:val="24"/>
          <w:szCs w:val="24"/>
          <w:lang w:val="en-US"/>
        </w:rPr>
        <w:t>not includ</w:t>
      </w:r>
      <w:r w:rsidR="0058790D" w:rsidRPr="00F17126">
        <w:rPr>
          <w:rFonts w:ascii="Times New Roman" w:hAnsi="Times New Roman" w:cs="Times New Roman"/>
          <w:sz w:val="24"/>
          <w:szCs w:val="24"/>
          <w:lang w:val="en-US"/>
        </w:rPr>
        <w:t>ing</w:t>
      </w:r>
      <w:r w:rsidR="00F53A8B" w:rsidRPr="00F17126">
        <w:rPr>
          <w:rFonts w:ascii="Times New Roman" w:hAnsi="Times New Roman" w:cs="Times New Roman"/>
          <w:sz w:val="24"/>
          <w:szCs w:val="24"/>
          <w:lang w:val="en-US"/>
        </w:rPr>
        <w:t xml:space="preserve"> references to their special circumstances. </w:t>
      </w:r>
    </w:p>
    <w:p w14:paraId="0C368B42" w14:textId="77777777" w:rsidR="0053415B" w:rsidRDefault="00F53A8B" w:rsidP="009C477E">
      <w:pPr>
        <w:spacing w:after="120" w:line="360" w:lineRule="auto"/>
        <w:ind w:firstLine="708"/>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Virtually all weaknesses of the PA and </w:t>
      </w:r>
      <w:r w:rsidR="0058790D" w:rsidRPr="00F17126">
        <w:rPr>
          <w:rFonts w:ascii="Times New Roman" w:hAnsi="Times New Roman" w:cs="Times New Roman"/>
          <w:sz w:val="24"/>
          <w:szCs w:val="24"/>
          <w:lang w:val="en-US"/>
        </w:rPr>
        <w:t xml:space="preserve">all </w:t>
      </w:r>
      <w:r w:rsidRPr="00F17126">
        <w:rPr>
          <w:rFonts w:ascii="Times New Roman" w:hAnsi="Times New Roman" w:cs="Times New Roman"/>
          <w:sz w:val="24"/>
          <w:szCs w:val="24"/>
          <w:lang w:val="en-US"/>
        </w:rPr>
        <w:t xml:space="preserve">its less binding provisions are due to US policy preferences. Throughout the preceding years of negotiations, it became clear that </w:t>
      </w:r>
      <w:r w:rsidR="006E6B1E">
        <w:rPr>
          <w:rFonts w:ascii="Times New Roman" w:hAnsi="Times New Roman" w:cs="Times New Roman"/>
          <w:sz w:val="24"/>
          <w:szCs w:val="24"/>
          <w:lang w:val="en-US"/>
        </w:rPr>
        <w:t>the agreement’s shape</w:t>
      </w:r>
      <w:r w:rsidRPr="00F17126">
        <w:rPr>
          <w:rFonts w:ascii="Times New Roman" w:hAnsi="Times New Roman" w:cs="Times New Roman"/>
          <w:sz w:val="24"/>
          <w:szCs w:val="24"/>
          <w:lang w:val="en-US"/>
        </w:rPr>
        <w:t xml:space="preserve"> </w:t>
      </w:r>
      <w:r w:rsidR="00A6018A" w:rsidRPr="00F17126">
        <w:rPr>
          <w:rFonts w:ascii="Times New Roman" w:hAnsi="Times New Roman" w:cs="Times New Roman"/>
          <w:sz w:val="24"/>
          <w:szCs w:val="24"/>
          <w:lang w:val="en-US"/>
        </w:rPr>
        <w:t>would</w:t>
      </w:r>
      <w:r w:rsidRPr="00F17126">
        <w:rPr>
          <w:rFonts w:ascii="Times New Roman" w:hAnsi="Times New Roman" w:cs="Times New Roman"/>
          <w:sz w:val="24"/>
          <w:szCs w:val="24"/>
          <w:lang w:val="en-US"/>
        </w:rPr>
        <w:t xml:space="preserve"> be constrained by domestic US </w:t>
      </w:r>
      <w:r w:rsidR="0058790D" w:rsidRPr="00F17126">
        <w:rPr>
          <w:rFonts w:ascii="Times New Roman" w:hAnsi="Times New Roman" w:cs="Times New Roman"/>
          <w:sz w:val="24"/>
          <w:szCs w:val="24"/>
          <w:lang w:val="en-US"/>
        </w:rPr>
        <w:t>politic</w:t>
      </w:r>
      <w:r w:rsidRPr="00F17126">
        <w:rPr>
          <w:rFonts w:ascii="Times New Roman" w:hAnsi="Times New Roman" w:cs="Times New Roman"/>
          <w:sz w:val="24"/>
          <w:szCs w:val="24"/>
          <w:lang w:val="en-US"/>
        </w:rPr>
        <w:t xml:space="preserve">s and </w:t>
      </w:r>
      <w:r w:rsidR="0058790D" w:rsidRPr="00F17126">
        <w:rPr>
          <w:rFonts w:ascii="Times New Roman" w:hAnsi="Times New Roman" w:cs="Times New Roman"/>
          <w:sz w:val="24"/>
          <w:szCs w:val="24"/>
          <w:lang w:val="en-US"/>
        </w:rPr>
        <w:t xml:space="preserve">would have to </w:t>
      </w:r>
      <w:r w:rsidR="00A6018A" w:rsidRPr="00F17126">
        <w:rPr>
          <w:rFonts w:ascii="Times New Roman" w:hAnsi="Times New Roman" w:cs="Times New Roman"/>
          <w:sz w:val="24"/>
          <w:szCs w:val="24"/>
          <w:lang w:val="en-US"/>
        </w:rPr>
        <w:t xml:space="preserve">rely on </w:t>
      </w:r>
      <w:r w:rsidR="007F4D99">
        <w:rPr>
          <w:rFonts w:ascii="Times New Roman" w:hAnsi="Times New Roman" w:cs="Times New Roman"/>
          <w:sz w:val="24"/>
          <w:szCs w:val="24"/>
          <w:lang w:val="en-US"/>
        </w:rPr>
        <w:t>the US President’s ability</w:t>
      </w:r>
      <w:r w:rsidRPr="00F17126">
        <w:rPr>
          <w:rFonts w:ascii="Times New Roman" w:hAnsi="Times New Roman" w:cs="Times New Roman"/>
          <w:sz w:val="24"/>
          <w:szCs w:val="24"/>
          <w:lang w:val="en-US"/>
        </w:rPr>
        <w:t xml:space="preserve"> to sign an </w:t>
      </w:r>
      <w:r w:rsidR="00D51ABB" w:rsidRPr="00F17126">
        <w:rPr>
          <w:rFonts w:ascii="Times New Roman" w:hAnsi="Times New Roman" w:cs="Times New Roman"/>
          <w:sz w:val="24"/>
          <w:szCs w:val="24"/>
          <w:lang w:val="en-US"/>
        </w:rPr>
        <w:t xml:space="preserve">executive </w:t>
      </w:r>
      <w:r w:rsidRPr="00F17126">
        <w:rPr>
          <w:rFonts w:ascii="Times New Roman" w:hAnsi="Times New Roman" w:cs="Times New Roman"/>
          <w:sz w:val="24"/>
          <w:szCs w:val="24"/>
          <w:lang w:val="en-US"/>
        </w:rPr>
        <w:t xml:space="preserve">agreement without involving Congress. The </w:t>
      </w:r>
      <w:r w:rsidR="008F7F61">
        <w:rPr>
          <w:rFonts w:ascii="Times New Roman" w:hAnsi="Times New Roman" w:cs="Times New Roman"/>
          <w:sz w:val="24"/>
          <w:szCs w:val="24"/>
          <w:lang w:val="en-US"/>
        </w:rPr>
        <w:t>European Union</w:t>
      </w:r>
      <w:r w:rsidRPr="00F17126">
        <w:rPr>
          <w:rFonts w:ascii="Times New Roman" w:hAnsi="Times New Roman" w:cs="Times New Roman"/>
          <w:sz w:val="24"/>
          <w:szCs w:val="24"/>
          <w:lang w:val="en-US"/>
        </w:rPr>
        <w:t>, most island states (AOSIS)</w:t>
      </w:r>
      <w:r w:rsidR="0058790D"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and a coalition of Latin American count</w:t>
      </w:r>
      <w:r w:rsidR="0058790D" w:rsidRPr="00F17126">
        <w:rPr>
          <w:rFonts w:ascii="Times New Roman" w:hAnsi="Times New Roman" w:cs="Times New Roman"/>
          <w:sz w:val="24"/>
          <w:szCs w:val="24"/>
          <w:lang w:val="en-US"/>
        </w:rPr>
        <w:t xml:space="preserve">ries (AILAC) pushed for a legally </w:t>
      </w:r>
      <w:r w:rsidRPr="00F17126">
        <w:rPr>
          <w:rFonts w:ascii="Times New Roman" w:hAnsi="Times New Roman" w:cs="Times New Roman"/>
          <w:sz w:val="24"/>
          <w:szCs w:val="24"/>
          <w:lang w:val="en-US"/>
        </w:rPr>
        <w:t xml:space="preserve">binding treaty with mandatory national mitigation policies and quantified global targets. </w:t>
      </w:r>
      <w:r w:rsidR="00A6018A" w:rsidRPr="00F17126">
        <w:rPr>
          <w:rFonts w:ascii="Times New Roman" w:hAnsi="Times New Roman" w:cs="Times New Roman"/>
          <w:sz w:val="24"/>
          <w:szCs w:val="24"/>
          <w:lang w:val="en-US"/>
        </w:rPr>
        <w:t>However,</w:t>
      </w:r>
      <w:r w:rsidRPr="00F17126">
        <w:rPr>
          <w:rFonts w:ascii="Times New Roman" w:hAnsi="Times New Roman" w:cs="Times New Roman"/>
          <w:sz w:val="24"/>
          <w:szCs w:val="24"/>
          <w:lang w:val="en-US"/>
        </w:rPr>
        <w:t xml:space="preserve"> the U</w:t>
      </w:r>
      <w:r w:rsidR="0058790D" w:rsidRPr="00F17126">
        <w:rPr>
          <w:rFonts w:ascii="Times New Roman" w:hAnsi="Times New Roman" w:cs="Times New Roman"/>
          <w:sz w:val="24"/>
          <w:szCs w:val="24"/>
          <w:lang w:val="en-US"/>
        </w:rPr>
        <w:t xml:space="preserve">nited </w:t>
      </w:r>
      <w:r w:rsidRPr="00F17126">
        <w:rPr>
          <w:rFonts w:ascii="Times New Roman" w:hAnsi="Times New Roman" w:cs="Times New Roman"/>
          <w:sz w:val="24"/>
          <w:szCs w:val="24"/>
          <w:lang w:val="en-US"/>
        </w:rPr>
        <w:t>S</w:t>
      </w:r>
      <w:r w:rsidR="0058790D" w:rsidRPr="00F17126">
        <w:rPr>
          <w:rFonts w:ascii="Times New Roman" w:hAnsi="Times New Roman" w:cs="Times New Roman"/>
          <w:sz w:val="24"/>
          <w:szCs w:val="24"/>
          <w:lang w:val="en-US"/>
        </w:rPr>
        <w:t>tates</w:t>
      </w:r>
      <w:r w:rsidRPr="00F17126">
        <w:rPr>
          <w:rFonts w:ascii="Times New Roman" w:hAnsi="Times New Roman" w:cs="Times New Roman"/>
          <w:sz w:val="24"/>
          <w:szCs w:val="24"/>
          <w:lang w:val="en-US"/>
        </w:rPr>
        <w:t xml:space="preserve"> </w:t>
      </w:r>
      <w:r w:rsidR="00A6018A" w:rsidRPr="00F17126">
        <w:rPr>
          <w:rFonts w:ascii="Times New Roman" w:hAnsi="Times New Roman" w:cs="Times New Roman"/>
          <w:sz w:val="24"/>
          <w:szCs w:val="24"/>
          <w:lang w:val="en-US"/>
        </w:rPr>
        <w:t>opposed</w:t>
      </w:r>
      <w:r w:rsidRPr="00F17126">
        <w:rPr>
          <w:rFonts w:ascii="Times New Roman" w:hAnsi="Times New Roman" w:cs="Times New Roman"/>
          <w:sz w:val="24"/>
          <w:szCs w:val="24"/>
          <w:lang w:val="en-US"/>
        </w:rPr>
        <w:t xml:space="preserve"> binding </w:t>
      </w:r>
      <w:r w:rsidR="00A6018A" w:rsidRPr="00F17126">
        <w:rPr>
          <w:rFonts w:ascii="Times New Roman" w:hAnsi="Times New Roman" w:cs="Times New Roman"/>
          <w:sz w:val="24"/>
          <w:szCs w:val="24"/>
          <w:lang w:val="en-US"/>
        </w:rPr>
        <w:t xml:space="preserve">commitments concerning </w:t>
      </w:r>
      <w:r w:rsidRPr="00F17126">
        <w:rPr>
          <w:rFonts w:ascii="Times New Roman" w:hAnsi="Times New Roman" w:cs="Times New Roman"/>
          <w:sz w:val="24"/>
          <w:szCs w:val="24"/>
          <w:lang w:val="en-US"/>
        </w:rPr>
        <w:t xml:space="preserve">mitigation and finance </w:t>
      </w:r>
      <w:r w:rsidR="00A6018A" w:rsidRPr="00F17126">
        <w:rPr>
          <w:rFonts w:ascii="Times New Roman" w:hAnsi="Times New Roman" w:cs="Times New Roman"/>
          <w:sz w:val="24"/>
          <w:szCs w:val="24"/>
          <w:lang w:val="en-US"/>
        </w:rPr>
        <w:t xml:space="preserve">so adamantly </w:t>
      </w:r>
      <w:r w:rsidRPr="00F17126">
        <w:rPr>
          <w:rFonts w:ascii="Times New Roman" w:hAnsi="Times New Roman" w:cs="Times New Roman"/>
          <w:sz w:val="24"/>
          <w:szCs w:val="24"/>
          <w:lang w:val="en-US"/>
        </w:rPr>
        <w:t xml:space="preserve">that other countries had to choose between a weaker global treaty </w:t>
      </w:r>
      <w:r w:rsidR="00A6018A" w:rsidRPr="00F17126">
        <w:rPr>
          <w:rFonts w:ascii="Times New Roman" w:hAnsi="Times New Roman" w:cs="Times New Roman"/>
          <w:sz w:val="24"/>
          <w:szCs w:val="24"/>
          <w:lang w:val="en-US"/>
        </w:rPr>
        <w:t xml:space="preserve">with </w:t>
      </w:r>
      <w:r w:rsidR="007F4D99">
        <w:rPr>
          <w:rFonts w:ascii="Times New Roman" w:hAnsi="Times New Roman" w:cs="Times New Roman"/>
          <w:sz w:val="24"/>
          <w:szCs w:val="24"/>
          <w:lang w:val="en-US"/>
        </w:rPr>
        <w:t>US participation</w:t>
      </w:r>
      <w:r w:rsidR="0058790D"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and a strong</w:t>
      </w:r>
      <w:r w:rsidR="00A6018A" w:rsidRPr="00F17126">
        <w:rPr>
          <w:rFonts w:ascii="Times New Roman" w:hAnsi="Times New Roman" w:cs="Times New Roman"/>
          <w:sz w:val="24"/>
          <w:szCs w:val="24"/>
          <w:lang w:val="en-US"/>
        </w:rPr>
        <w:t>er</w:t>
      </w:r>
      <w:r w:rsidRPr="00F17126">
        <w:rPr>
          <w:rFonts w:ascii="Times New Roman" w:hAnsi="Times New Roman" w:cs="Times New Roman"/>
          <w:sz w:val="24"/>
          <w:szCs w:val="24"/>
          <w:lang w:val="en-US"/>
        </w:rPr>
        <w:t xml:space="preserve"> </w:t>
      </w:r>
      <w:r w:rsidR="007F4D99">
        <w:rPr>
          <w:rFonts w:ascii="Times New Roman" w:hAnsi="Times New Roman" w:cs="Times New Roman"/>
          <w:sz w:val="24"/>
          <w:szCs w:val="24"/>
          <w:lang w:val="en-US"/>
        </w:rPr>
        <w:t>treaty</w:t>
      </w:r>
      <w:r w:rsidR="007F4D99"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with</w:t>
      </w:r>
      <w:r w:rsidR="0058790D" w:rsidRPr="00F17126">
        <w:rPr>
          <w:rFonts w:ascii="Times New Roman" w:hAnsi="Times New Roman" w:cs="Times New Roman"/>
          <w:sz w:val="24"/>
          <w:szCs w:val="24"/>
          <w:lang w:val="en-US"/>
        </w:rPr>
        <w:t>out US participation</w:t>
      </w:r>
      <w:r w:rsidRPr="00F17126">
        <w:rPr>
          <w:rFonts w:ascii="Times New Roman" w:hAnsi="Times New Roman" w:cs="Times New Roman"/>
          <w:sz w:val="24"/>
          <w:szCs w:val="24"/>
          <w:lang w:val="en-US"/>
        </w:rPr>
        <w:t xml:space="preserve"> (Dimitrov</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The </w:t>
      </w:r>
      <w:r w:rsidR="00A6018A" w:rsidRPr="00F17126">
        <w:rPr>
          <w:rFonts w:ascii="Times New Roman" w:hAnsi="Times New Roman" w:cs="Times New Roman"/>
          <w:sz w:val="24"/>
          <w:szCs w:val="24"/>
          <w:lang w:val="en-US"/>
        </w:rPr>
        <w:t>US</w:t>
      </w:r>
      <w:r w:rsidRPr="00F17126">
        <w:rPr>
          <w:rFonts w:ascii="Times New Roman" w:hAnsi="Times New Roman" w:cs="Times New Roman"/>
          <w:sz w:val="24"/>
          <w:szCs w:val="24"/>
          <w:lang w:val="en-US"/>
        </w:rPr>
        <w:t xml:space="preserve"> delegation was singularly responsible</w:t>
      </w:r>
      <w:r w:rsidR="00A6018A" w:rsidRPr="00F17126">
        <w:rPr>
          <w:rFonts w:ascii="Times New Roman" w:hAnsi="Times New Roman" w:cs="Times New Roman"/>
          <w:sz w:val="24"/>
          <w:szCs w:val="24"/>
          <w:lang w:val="en-US"/>
        </w:rPr>
        <w:t xml:space="preserve"> for turning mitigation policy “</w:t>
      </w:r>
      <w:r w:rsidRPr="00F17126">
        <w:rPr>
          <w:rFonts w:ascii="Times New Roman" w:hAnsi="Times New Roman" w:cs="Times New Roman"/>
          <w:sz w:val="24"/>
          <w:szCs w:val="24"/>
          <w:lang w:val="en-US"/>
        </w:rPr>
        <w:t>commitments</w:t>
      </w:r>
      <w:r w:rsidR="00A6018A"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w:t>
      </w:r>
      <w:r w:rsidR="00A6018A" w:rsidRPr="00F17126">
        <w:rPr>
          <w:rFonts w:ascii="Times New Roman" w:hAnsi="Times New Roman" w:cs="Times New Roman"/>
          <w:sz w:val="24"/>
          <w:szCs w:val="24"/>
          <w:lang w:val="en-US"/>
        </w:rPr>
        <w:t>into “</w:t>
      </w:r>
      <w:r w:rsidRPr="00F17126">
        <w:rPr>
          <w:rFonts w:ascii="Times New Roman" w:hAnsi="Times New Roman" w:cs="Times New Roman"/>
          <w:sz w:val="24"/>
          <w:szCs w:val="24"/>
          <w:lang w:val="en-US"/>
        </w:rPr>
        <w:t>contributions</w:t>
      </w:r>
      <w:r w:rsidR="00A6018A"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in the NDCs</w:t>
      </w:r>
      <w:r w:rsidR="0058790D" w:rsidRPr="00F17126">
        <w:rPr>
          <w:rFonts w:ascii="Times New Roman" w:hAnsi="Times New Roman" w:cs="Times New Roman"/>
          <w:sz w:val="24"/>
          <w:szCs w:val="24"/>
          <w:lang w:val="en-US"/>
        </w:rPr>
        <w:t xml:space="preserve">. It was also responsible for </w:t>
      </w:r>
      <w:r w:rsidR="00A6018A" w:rsidRPr="00F17126">
        <w:rPr>
          <w:rFonts w:ascii="Times New Roman" w:hAnsi="Times New Roman" w:cs="Times New Roman"/>
          <w:sz w:val="24"/>
          <w:szCs w:val="24"/>
          <w:lang w:val="en-US"/>
        </w:rPr>
        <w:t>deleting the definitive word “fulfil”</w:t>
      </w:r>
      <w:r w:rsidRPr="00F17126">
        <w:rPr>
          <w:rFonts w:ascii="Times New Roman" w:hAnsi="Times New Roman" w:cs="Times New Roman"/>
          <w:sz w:val="24"/>
          <w:szCs w:val="24"/>
          <w:lang w:val="en-US"/>
        </w:rPr>
        <w:t xml:space="preserve"> </w:t>
      </w:r>
      <w:r w:rsidR="0058790D" w:rsidRPr="00F17126">
        <w:rPr>
          <w:rFonts w:ascii="Times New Roman" w:hAnsi="Times New Roman" w:cs="Times New Roman"/>
          <w:sz w:val="24"/>
          <w:szCs w:val="24"/>
          <w:lang w:val="en-US"/>
        </w:rPr>
        <w:t xml:space="preserve">in relation to </w:t>
      </w:r>
      <w:r w:rsidRPr="00F17126">
        <w:rPr>
          <w:rFonts w:ascii="Times New Roman" w:hAnsi="Times New Roman" w:cs="Times New Roman"/>
          <w:sz w:val="24"/>
          <w:szCs w:val="24"/>
          <w:lang w:val="en-US"/>
        </w:rPr>
        <w:t>NDCs, th</w:t>
      </w:r>
      <w:r w:rsidR="00A6018A" w:rsidRPr="00F17126">
        <w:rPr>
          <w:rFonts w:ascii="Times New Roman" w:hAnsi="Times New Roman" w:cs="Times New Roman"/>
          <w:sz w:val="24"/>
          <w:szCs w:val="24"/>
          <w:lang w:val="en-US"/>
        </w:rPr>
        <w:t>ereby</w:t>
      </w:r>
      <w:r w:rsidRPr="00F17126">
        <w:rPr>
          <w:rFonts w:ascii="Times New Roman" w:hAnsi="Times New Roman" w:cs="Times New Roman"/>
          <w:sz w:val="24"/>
          <w:szCs w:val="24"/>
          <w:lang w:val="en-US"/>
        </w:rPr>
        <w:t xml:space="preserve"> weakening legal obligations to implement and achieve </w:t>
      </w:r>
      <w:r w:rsidR="00A6018A" w:rsidRPr="00F17126">
        <w:rPr>
          <w:rFonts w:ascii="Times New Roman" w:hAnsi="Times New Roman" w:cs="Times New Roman"/>
          <w:sz w:val="24"/>
          <w:szCs w:val="24"/>
          <w:lang w:val="en-US"/>
        </w:rPr>
        <w:t>p</w:t>
      </w:r>
      <w:r w:rsidRPr="00F17126">
        <w:rPr>
          <w:rFonts w:ascii="Times New Roman" w:hAnsi="Times New Roman" w:cs="Times New Roman"/>
          <w:sz w:val="24"/>
          <w:szCs w:val="24"/>
          <w:lang w:val="en-US"/>
        </w:rPr>
        <w:t>olicy results</w:t>
      </w:r>
      <w:r w:rsidR="0058790D" w:rsidRPr="00F17126">
        <w:rPr>
          <w:rFonts w:ascii="Times New Roman" w:hAnsi="Times New Roman" w:cs="Times New Roman"/>
          <w:sz w:val="24"/>
          <w:szCs w:val="24"/>
          <w:lang w:val="en-US"/>
        </w:rPr>
        <w:t xml:space="preserve">. Finally, it was responsible for </w:t>
      </w:r>
      <w:r w:rsidRPr="00F17126">
        <w:rPr>
          <w:rFonts w:ascii="Times New Roman" w:hAnsi="Times New Roman" w:cs="Times New Roman"/>
          <w:sz w:val="24"/>
          <w:szCs w:val="24"/>
          <w:lang w:val="en-US"/>
        </w:rPr>
        <w:t>making developed country mitigation policy less</w:t>
      </w:r>
      <w:r w:rsidR="00A6018A"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legally binding</w:t>
      </w:r>
      <w:r w:rsidR="00A6018A"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by replacing the strong word “shall” with the legally weaker “should” (Dimitrov</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Rajamani</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Fry</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Where the U</w:t>
      </w:r>
      <w:r w:rsidR="0058790D" w:rsidRPr="00F17126">
        <w:rPr>
          <w:rFonts w:ascii="Times New Roman" w:hAnsi="Times New Roman" w:cs="Times New Roman"/>
          <w:sz w:val="24"/>
          <w:szCs w:val="24"/>
          <w:lang w:val="en-US"/>
        </w:rPr>
        <w:t xml:space="preserve">nited </w:t>
      </w:r>
      <w:r w:rsidRPr="00F17126">
        <w:rPr>
          <w:rFonts w:ascii="Times New Roman" w:hAnsi="Times New Roman" w:cs="Times New Roman"/>
          <w:sz w:val="24"/>
          <w:szCs w:val="24"/>
          <w:lang w:val="en-US"/>
        </w:rPr>
        <w:t>S</w:t>
      </w:r>
      <w:r w:rsidR="0058790D" w:rsidRPr="00F17126">
        <w:rPr>
          <w:rFonts w:ascii="Times New Roman" w:hAnsi="Times New Roman" w:cs="Times New Roman"/>
          <w:sz w:val="24"/>
          <w:szCs w:val="24"/>
          <w:lang w:val="en-US"/>
        </w:rPr>
        <w:t>tates</w:t>
      </w:r>
      <w:r w:rsidRPr="00F17126">
        <w:rPr>
          <w:rFonts w:ascii="Times New Roman" w:hAnsi="Times New Roman" w:cs="Times New Roman"/>
          <w:sz w:val="24"/>
          <w:szCs w:val="24"/>
          <w:lang w:val="en-US"/>
        </w:rPr>
        <w:t xml:space="preserve"> clearly failed was </w:t>
      </w:r>
      <w:r w:rsidR="00A6018A" w:rsidRPr="00F17126">
        <w:rPr>
          <w:rFonts w:ascii="Times New Roman" w:hAnsi="Times New Roman" w:cs="Times New Roman"/>
          <w:sz w:val="24"/>
          <w:szCs w:val="24"/>
          <w:lang w:val="en-US"/>
        </w:rPr>
        <w:t xml:space="preserve">on the issue of loss and damage, </w:t>
      </w:r>
      <w:r w:rsidR="0058790D" w:rsidRPr="00F17126">
        <w:rPr>
          <w:rFonts w:ascii="Times New Roman" w:hAnsi="Times New Roman" w:cs="Times New Roman"/>
          <w:sz w:val="24"/>
          <w:szCs w:val="24"/>
          <w:lang w:val="en-US"/>
        </w:rPr>
        <w:t xml:space="preserve">where agreed </w:t>
      </w:r>
      <w:r w:rsidRPr="00F17126">
        <w:rPr>
          <w:rFonts w:ascii="Times New Roman" w:hAnsi="Times New Roman" w:cs="Times New Roman"/>
          <w:sz w:val="24"/>
          <w:szCs w:val="24"/>
          <w:lang w:val="en-US"/>
        </w:rPr>
        <w:t xml:space="preserve">provisions were a victory </w:t>
      </w:r>
      <w:r w:rsidR="007627EB" w:rsidRPr="00F17126">
        <w:rPr>
          <w:rFonts w:ascii="Times New Roman" w:hAnsi="Times New Roman" w:cs="Times New Roman"/>
          <w:sz w:val="24"/>
          <w:szCs w:val="24"/>
          <w:lang w:val="en-US"/>
        </w:rPr>
        <w:t xml:space="preserve">(albeit a moderate one) </w:t>
      </w:r>
      <w:r w:rsidRPr="00F17126">
        <w:rPr>
          <w:rFonts w:ascii="Times New Roman" w:hAnsi="Times New Roman" w:cs="Times New Roman"/>
          <w:sz w:val="24"/>
          <w:szCs w:val="24"/>
          <w:lang w:val="en-US"/>
        </w:rPr>
        <w:t>for island nations (</w:t>
      </w:r>
      <w:r w:rsidR="008D4F20">
        <w:rPr>
          <w:rFonts w:ascii="Times New Roman" w:hAnsi="Times New Roman" w:cs="Times New Roman"/>
          <w:sz w:val="24"/>
          <w:szCs w:val="24"/>
          <w:lang w:val="en-US"/>
        </w:rPr>
        <w:t>Art.</w:t>
      </w:r>
      <w:r w:rsidR="008D4F20"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8). The U</w:t>
      </w:r>
      <w:r w:rsidR="007627EB" w:rsidRPr="00F17126">
        <w:rPr>
          <w:rFonts w:ascii="Times New Roman" w:hAnsi="Times New Roman" w:cs="Times New Roman"/>
          <w:sz w:val="24"/>
          <w:szCs w:val="24"/>
          <w:lang w:val="en-US"/>
        </w:rPr>
        <w:t xml:space="preserve">nited </w:t>
      </w:r>
      <w:r w:rsidRPr="00F17126">
        <w:rPr>
          <w:rFonts w:ascii="Times New Roman" w:hAnsi="Times New Roman" w:cs="Times New Roman"/>
          <w:sz w:val="24"/>
          <w:szCs w:val="24"/>
          <w:lang w:val="en-US"/>
        </w:rPr>
        <w:t>S</w:t>
      </w:r>
      <w:r w:rsidR="007627EB" w:rsidRPr="00F17126">
        <w:rPr>
          <w:rFonts w:ascii="Times New Roman" w:hAnsi="Times New Roman" w:cs="Times New Roman"/>
          <w:sz w:val="24"/>
          <w:szCs w:val="24"/>
          <w:lang w:val="en-US"/>
        </w:rPr>
        <w:t>tates</w:t>
      </w:r>
      <w:r w:rsidRPr="00F17126">
        <w:rPr>
          <w:rFonts w:ascii="Times New Roman" w:hAnsi="Times New Roman" w:cs="Times New Roman"/>
          <w:sz w:val="24"/>
          <w:szCs w:val="24"/>
          <w:lang w:val="en-US"/>
        </w:rPr>
        <w:t xml:space="preserve"> made strong efforts </w:t>
      </w:r>
      <w:r w:rsidR="00A6018A" w:rsidRPr="00F17126">
        <w:rPr>
          <w:rFonts w:ascii="Times New Roman" w:hAnsi="Times New Roman" w:cs="Times New Roman"/>
          <w:sz w:val="24"/>
          <w:szCs w:val="24"/>
          <w:lang w:val="en-US"/>
        </w:rPr>
        <w:t>ye</w:t>
      </w:r>
      <w:r w:rsidRPr="00F17126">
        <w:rPr>
          <w:rFonts w:ascii="Times New Roman" w:hAnsi="Times New Roman" w:cs="Times New Roman"/>
          <w:sz w:val="24"/>
          <w:szCs w:val="24"/>
          <w:lang w:val="en-US"/>
        </w:rPr>
        <w:t xml:space="preserve">t did not succeed in keeping loss and damage </w:t>
      </w:r>
      <w:r w:rsidR="007627EB" w:rsidRPr="00F17126">
        <w:rPr>
          <w:rFonts w:ascii="Times New Roman" w:hAnsi="Times New Roman" w:cs="Times New Roman"/>
          <w:sz w:val="24"/>
          <w:szCs w:val="24"/>
          <w:lang w:val="en-US"/>
        </w:rPr>
        <w:t xml:space="preserve">completely </w:t>
      </w:r>
      <w:r w:rsidRPr="00F17126">
        <w:rPr>
          <w:rFonts w:ascii="Times New Roman" w:hAnsi="Times New Roman" w:cs="Times New Roman"/>
          <w:sz w:val="24"/>
          <w:szCs w:val="24"/>
          <w:lang w:val="en-US"/>
        </w:rPr>
        <w:t xml:space="preserve">out of the PA, or </w:t>
      </w:r>
      <w:r w:rsidR="00A6018A" w:rsidRPr="00F17126">
        <w:rPr>
          <w:rFonts w:ascii="Times New Roman" w:hAnsi="Times New Roman" w:cs="Times New Roman"/>
          <w:sz w:val="24"/>
          <w:szCs w:val="24"/>
          <w:lang w:val="en-US"/>
        </w:rPr>
        <w:t xml:space="preserve">in </w:t>
      </w:r>
      <w:r w:rsidRPr="00F17126">
        <w:rPr>
          <w:rFonts w:ascii="Times New Roman" w:hAnsi="Times New Roman" w:cs="Times New Roman"/>
          <w:sz w:val="24"/>
          <w:szCs w:val="24"/>
          <w:lang w:val="en-US"/>
        </w:rPr>
        <w:t>folding it under the adaptation chapter (Fry</w:t>
      </w:r>
      <w:r w:rsidR="00D11EA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w:t>
      </w:r>
    </w:p>
    <w:p w14:paraId="5EB3405A" w14:textId="77777777" w:rsidR="0053415B" w:rsidRDefault="0053415B" w:rsidP="009C477E">
      <w:pPr>
        <w:spacing w:after="120" w:line="360" w:lineRule="auto"/>
        <w:ind w:firstLine="708"/>
        <w:rPr>
          <w:rFonts w:ascii="Times New Roman" w:hAnsi="Times New Roman" w:cs="Times New Roman"/>
          <w:sz w:val="24"/>
          <w:szCs w:val="24"/>
          <w:lang w:val="en-US"/>
        </w:rPr>
      </w:pPr>
    </w:p>
    <w:p w14:paraId="7E361E43" w14:textId="23892092" w:rsidR="00894EEE" w:rsidRPr="00F17126" w:rsidRDefault="00F53A8B" w:rsidP="009C477E">
      <w:pPr>
        <w:spacing w:after="120" w:line="360" w:lineRule="auto"/>
        <w:ind w:firstLine="708"/>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 </w:t>
      </w:r>
    </w:p>
    <w:p w14:paraId="498679F0" w14:textId="77777777" w:rsidR="000115C7" w:rsidRPr="00F17126" w:rsidRDefault="00590D22" w:rsidP="009C477E">
      <w:pPr>
        <w:spacing w:after="120"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lastRenderedPageBreak/>
        <w:t>3</w:t>
      </w:r>
      <w:r w:rsidR="000115C7" w:rsidRPr="00F17126">
        <w:rPr>
          <w:rFonts w:ascii="Times New Roman" w:hAnsi="Times New Roman" w:cs="Times New Roman"/>
          <w:b/>
          <w:sz w:val="24"/>
          <w:szCs w:val="24"/>
          <w:lang w:val="en-US"/>
        </w:rPr>
        <w:t>. Governing Global Climate Change: a Trilemma</w:t>
      </w:r>
    </w:p>
    <w:p w14:paraId="4700BF22" w14:textId="3299E237" w:rsidR="000115C7" w:rsidRPr="00F17126" w:rsidRDefault="00A32FEB"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Scott </w:t>
      </w:r>
      <w:r w:rsidR="000115C7" w:rsidRPr="00F17126">
        <w:rPr>
          <w:rFonts w:ascii="Times New Roman" w:hAnsi="Times New Roman" w:cs="Times New Roman"/>
          <w:sz w:val="24"/>
          <w:szCs w:val="24"/>
          <w:lang w:val="en-US"/>
        </w:rPr>
        <w:t xml:space="preserve">Barrett </w:t>
      </w:r>
      <w:r w:rsidR="00FC11B4">
        <w:rPr>
          <w:rFonts w:ascii="Times New Roman" w:hAnsi="Times New Roman" w:cs="Times New Roman"/>
          <w:sz w:val="24"/>
          <w:szCs w:val="24"/>
          <w:lang w:val="en-US"/>
        </w:rPr>
        <w:t xml:space="preserve">(2003) </w:t>
      </w:r>
      <w:r w:rsidR="000115C7" w:rsidRPr="00F17126">
        <w:rPr>
          <w:rFonts w:ascii="Times New Roman" w:hAnsi="Times New Roman" w:cs="Times New Roman"/>
          <w:sz w:val="24"/>
          <w:szCs w:val="24"/>
          <w:lang w:val="en-US"/>
        </w:rPr>
        <w:t xml:space="preserve">suggests that </w:t>
      </w:r>
      <w:r w:rsidR="00A3303E" w:rsidRPr="00F17126">
        <w:rPr>
          <w:rFonts w:ascii="Times New Roman" w:hAnsi="Times New Roman" w:cs="Times New Roman"/>
          <w:sz w:val="24"/>
          <w:szCs w:val="24"/>
          <w:lang w:val="en-US"/>
        </w:rPr>
        <w:t xml:space="preserve">to be effective, a multilateral environmental agreement </w:t>
      </w:r>
      <w:r w:rsidR="007627EB" w:rsidRPr="00F17126">
        <w:rPr>
          <w:rFonts w:ascii="Times New Roman" w:hAnsi="Times New Roman" w:cs="Times New Roman"/>
          <w:sz w:val="24"/>
          <w:szCs w:val="24"/>
          <w:lang w:val="en-US"/>
        </w:rPr>
        <w:t xml:space="preserve">(MEA) </w:t>
      </w:r>
      <w:r w:rsidR="00A3303E" w:rsidRPr="00F17126">
        <w:rPr>
          <w:rFonts w:ascii="Times New Roman" w:hAnsi="Times New Roman" w:cs="Times New Roman"/>
          <w:sz w:val="24"/>
          <w:szCs w:val="24"/>
          <w:lang w:val="en-US"/>
        </w:rPr>
        <w:t>must attract broad</w:t>
      </w:r>
      <w:r w:rsidR="002B36F3">
        <w:rPr>
          <w:rFonts w:ascii="Times New Roman" w:hAnsi="Times New Roman" w:cs="Times New Roman"/>
          <w:sz w:val="24"/>
          <w:szCs w:val="24"/>
          <w:lang w:val="en-US"/>
        </w:rPr>
        <w:t>-</w:t>
      </w:r>
      <w:r w:rsidR="00A3303E" w:rsidRPr="00F17126">
        <w:rPr>
          <w:rFonts w:ascii="Times New Roman" w:hAnsi="Times New Roman" w:cs="Times New Roman"/>
          <w:sz w:val="24"/>
          <w:szCs w:val="24"/>
          <w:lang w:val="en-US"/>
        </w:rPr>
        <w:t>to</w:t>
      </w:r>
      <w:r w:rsidR="002B36F3">
        <w:rPr>
          <w:rFonts w:ascii="Times New Roman" w:hAnsi="Times New Roman" w:cs="Times New Roman"/>
          <w:sz w:val="24"/>
          <w:szCs w:val="24"/>
          <w:lang w:val="en-US"/>
        </w:rPr>
        <w:t>-</w:t>
      </w:r>
      <w:r w:rsidR="0053415B">
        <w:rPr>
          <w:rFonts w:ascii="Times New Roman" w:hAnsi="Times New Roman" w:cs="Times New Roman"/>
          <w:sz w:val="24"/>
          <w:szCs w:val="24"/>
          <w:lang w:val="en-US"/>
        </w:rPr>
        <w:t>full</w:t>
      </w:r>
      <w:r w:rsidR="00A3303E" w:rsidRPr="00F17126">
        <w:rPr>
          <w:rFonts w:ascii="Times New Roman" w:hAnsi="Times New Roman" w:cs="Times New Roman"/>
          <w:sz w:val="24"/>
          <w:szCs w:val="24"/>
          <w:lang w:val="en-US"/>
        </w:rPr>
        <w:t xml:space="preserve"> participation, </w:t>
      </w:r>
      <w:r w:rsidR="000115C7" w:rsidRPr="00F17126">
        <w:rPr>
          <w:rFonts w:ascii="Times New Roman" w:hAnsi="Times New Roman" w:cs="Times New Roman"/>
          <w:sz w:val="24"/>
          <w:szCs w:val="24"/>
          <w:lang w:val="en-US"/>
        </w:rPr>
        <w:t xml:space="preserve">be ambitious in </w:t>
      </w:r>
      <w:r w:rsidR="00A3303E" w:rsidRPr="00F17126">
        <w:rPr>
          <w:rFonts w:ascii="Times New Roman" w:hAnsi="Times New Roman" w:cs="Times New Roman"/>
          <w:sz w:val="24"/>
          <w:szCs w:val="24"/>
          <w:lang w:val="en-US"/>
        </w:rPr>
        <w:t>its</w:t>
      </w:r>
      <w:r w:rsidR="000115C7" w:rsidRPr="00F17126">
        <w:rPr>
          <w:rFonts w:ascii="Times New Roman" w:hAnsi="Times New Roman" w:cs="Times New Roman"/>
          <w:sz w:val="24"/>
          <w:szCs w:val="24"/>
          <w:lang w:val="en-US"/>
        </w:rPr>
        <w:t xml:space="preserve"> depth of commitments</w:t>
      </w:r>
      <w:r w:rsidR="00A3303E" w:rsidRPr="00F17126">
        <w:rPr>
          <w:rFonts w:ascii="Times New Roman" w:hAnsi="Times New Roman" w:cs="Times New Roman"/>
          <w:sz w:val="24"/>
          <w:szCs w:val="24"/>
          <w:lang w:val="en-US"/>
        </w:rPr>
        <w:t xml:space="preserve">, and obtain high </w:t>
      </w:r>
      <w:r w:rsidR="000115C7" w:rsidRPr="00F17126">
        <w:rPr>
          <w:rFonts w:ascii="Times New Roman" w:hAnsi="Times New Roman" w:cs="Times New Roman"/>
          <w:sz w:val="24"/>
          <w:szCs w:val="24"/>
          <w:lang w:val="en-US"/>
        </w:rPr>
        <w:t xml:space="preserve">compliance </w:t>
      </w:r>
      <w:r w:rsidR="00A3303E" w:rsidRPr="00F17126">
        <w:rPr>
          <w:rFonts w:ascii="Times New Roman" w:hAnsi="Times New Roman" w:cs="Times New Roman"/>
          <w:sz w:val="24"/>
          <w:szCs w:val="24"/>
          <w:lang w:val="en-US"/>
        </w:rPr>
        <w:t>rates</w:t>
      </w:r>
      <w:r w:rsidR="000115C7" w:rsidRPr="00F17126">
        <w:rPr>
          <w:rFonts w:ascii="Times New Roman" w:hAnsi="Times New Roman" w:cs="Times New Roman"/>
          <w:sz w:val="24"/>
          <w:szCs w:val="24"/>
          <w:lang w:val="en-US"/>
        </w:rPr>
        <w:t xml:space="preserve">. We may </w:t>
      </w:r>
      <w:r w:rsidR="008F7F61">
        <w:rPr>
          <w:rFonts w:ascii="Times New Roman" w:hAnsi="Times New Roman" w:cs="Times New Roman"/>
          <w:sz w:val="24"/>
          <w:szCs w:val="24"/>
          <w:lang w:val="en-US"/>
        </w:rPr>
        <w:t>call</w:t>
      </w:r>
      <w:r w:rsidR="008F7F61" w:rsidRPr="00F17126">
        <w:rPr>
          <w:rFonts w:ascii="Times New Roman" w:hAnsi="Times New Roman" w:cs="Times New Roman"/>
          <w:sz w:val="24"/>
          <w:szCs w:val="24"/>
          <w:lang w:val="en-US"/>
        </w:rPr>
        <w:t xml:space="preserve"> </w:t>
      </w:r>
      <w:r w:rsidR="001629EA" w:rsidRPr="00F17126">
        <w:rPr>
          <w:rFonts w:ascii="Times New Roman" w:hAnsi="Times New Roman" w:cs="Times New Roman"/>
          <w:sz w:val="24"/>
          <w:szCs w:val="24"/>
          <w:lang w:val="en-US"/>
        </w:rPr>
        <w:t xml:space="preserve">satisfying all these conditions </w:t>
      </w:r>
      <w:r w:rsidR="000115C7" w:rsidRPr="00F17126">
        <w:rPr>
          <w:rFonts w:ascii="Times New Roman" w:hAnsi="Times New Roman" w:cs="Times New Roman"/>
          <w:sz w:val="24"/>
          <w:szCs w:val="24"/>
          <w:lang w:val="en-US"/>
        </w:rPr>
        <w:t xml:space="preserve">a </w:t>
      </w:r>
      <w:r w:rsidR="00A3303E" w:rsidRPr="00F17126">
        <w:rPr>
          <w:rFonts w:ascii="Times New Roman" w:hAnsi="Times New Roman" w:cs="Times New Roman"/>
          <w:sz w:val="24"/>
          <w:szCs w:val="24"/>
          <w:lang w:val="en-US"/>
        </w:rPr>
        <w:t xml:space="preserve">trilemma that is very challenging to </w:t>
      </w:r>
      <w:r w:rsidR="000115C7" w:rsidRPr="00F17126">
        <w:rPr>
          <w:rFonts w:ascii="Times New Roman" w:hAnsi="Times New Roman" w:cs="Times New Roman"/>
          <w:sz w:val="24"/>
          <w:szCs w:val="24"/>
          <w:lang w:val="en-US"/>
        </w:rPr>
        <w:t>solv</w:t>
      </w:r>
      <w:r w:rsidR="00A3303E" w:rsidRPr="00F17126">
        <w:rPr>
          <w:rFonts w:ascii="Times New Roman" w:hAnsi="Times New Roman" w:cs="Times New Roman"/>
          <w:sz w:val="24"/>
          <w:szCs w:val="24"/>
          <w:lang w:val="en-US"/>
        </w:rPr>
        <w:t>e</w:t>
      </w:r>
      <w:r w:rsidR="001629EA" w:rsidRPr="00F17126">
        <w:rPr>
          <w:rFonts w:ascii="Times New Roman" w:hAnsi="Times New Roman" w:cs="Times New Roman"/>
          <w:sz w:val="24"/>
          <w:szCs w:val="24"/>
          <w:lang w:val="en-US"/>
        </w:rPr>
        <w:t xml:space="preserve">, at least </w:t>
      </w:r>
      <w:r w:rsidR="000049EB" w:rsidRPr="00F17126">
        <w:rPr>
          <w:rFonts w:ascii="Times New Roman" w:hAnsi="Times New Roman" w:cs="Times New Roman"/>
          <w:sz w:val="24"/>
          <w:szCs w:val="24"/>
          <w:lang w:val="en-US"/>
        </w:rPr>
        <w:t xml:space="preserve">in </w:t>
      </w:r>
      <w:r w:rsidR="00141857">
        <w:rPr>
          <w:rFonts w:ascii="Times New Roman" w:hAnsi="Times New Roman" w:cs="Times New Roman"/>
          <w:sz w:val="24"/>
          <w:szCs w:val="24"/>
          <w:lang w:val="en-US"/>
        </w:rPr>
        <w:t>the climate change context</w:t>
      </w:r>
      <w:r w:rsidR="000049EB" w:rsidRPr="00F17126">
        <w:rPr>
          <w:rFonts w:ascii="Times New Roman" w:hAnsi="Times New Roman" w:cs="Times New Roman"/>
          <w:sz w:val="24"/>
          <w:szCs w:val="24"/>
          <w:lang w:val="en-US"/>
        </w:rPr>
        <w:t>.</w:t>
      </w:r>
    </w:p>
    <w:p w14:paraId="5805B573" w14:textId="435AA5E7" w:rsidR="002F7025" w:rsidRPr="00F17126" w:rsidRDefault="000115C7"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Perhaps the </w:t>
      </w:r>
      <w:r w:rsidR="008A52D5" w:rsidRPr="00F17126">
        <w:rPr>
          <w:rFonts w:ascii="Times New Roman" w:hAnsi="Times New Roman" w:cs="Times New Roman"/>
          <w:sz w:val="24"/>
          <w:szCs w:val="24"/>
          <w:lang w:val="en-US"/>
        </w:rPr>
        <w:t>best-known</w:t>
      </w:r>
      <w:r w:rsidRPr="00F17126">
        <w:rPr>
          <w:rFonts w:ascii="Times New Roman" w:hAnsi="Times New Roman" w:cs="Times New Roman"/>
          <w:sz w:val="24"/>
          <w:szCs w:val="24"/>
          <w:lang w:val="en-US"/>
        </w:rPr>
        <w:t xml:space="preserve"> trilemma in political economy originated from the Mundell</w:t>
      </w:r>
      <w:r w:rsidR="005C1D57">
        <w:rPr>
          <w:rFonts w:ascii="Times New Roman" w:hAnsi="Times New Roman" w:cs="Times New Roman"/>
          <w:sz w:val="24"/>
          <w:szCs w:val="24"/>
          <w:lang w:val="en-US"/>
        </w:rPr>
        <w:t>–</w:t>
      </w:r>
      <w:r w:rsidRPr="00F17126">
        <w:rPr>
          <w:rFonts w:ascii="Times New Roman" w:hAnsi="Times New Roman" w:cs="Times New Roman"/>
          <w:sz w:val="24"/>
          <w:szCs w:val="24"/>
          <w:lang w:val="en-US"/>
        </w:rPr>
        <w:t>Fleming model (which contributed to Mundell</w:t>
      </w:r>
      <w:r w:rsidR="005C1D57">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being awarded the Nobel Prize in Economics in 1999)</w:t>
      </w:r>
      <w:r w:rsidR="007627EB" w:rsidRPr="00F17126">
        <w:rPr>
          <w:rFonts w:ascii="Times New Roman" w:hAnsi="Times New Roman" w:cs="Times New Roman"/>
          <w:sz w:val="24"/>
          <w:szCs w:val="24"/>
          <w:lang w:val="en-US"/>
        </w:rPr>
        <w:t>.</w:t>
      </w:r>
      <w:r w:rsidR="00F525C8" w:rsidRPr="0009104A">
        <w:rPr>
          <w:rStyle w:val="FootnoteReference"/>
          <w:rFonts w:ascii="Times New Roman" w:hAnsi="Times New Roman" w:cs="Times New Roman"/>
          <w:sz w:val="24"/>
          <w:szCs w:val="24"/>
        </w:rPr>
        <w:footnoteReference w:id="2"/>
      </w:r>
      <w:r w:rsidRPr="00F17126">
        <w:rPr>
          <w:rFonts w:ascii="Times New Roman" w:hAnsi="Times New Roman" w:cs="Times New Roman"/>
          <w:sz w:val="24"/>
          <w:szCs w:val="24"/>
          <w:lang w:val="en-US"/>
        </w:rPr>
        <w:t xml:space="preserve"> </w:t>
      </w:r>
      <w:r w:rsidR="007627EB" w:rsidRPr="00F17126">
        <w:rPr>
          <w:rFonts w:ascii="Times New Roman" w:hAnsi="Times New Roman" w:cs="Times New Roman"/>
          <w:sz w:val="24"/>
          <w:szCs w:val="24"/>
          <w:lang w:val="en-US"/>
        </w:rPr>
        <w:t>This model</w:t>
      </w:r>
      <w:r w:rsidRPr="00F17126">
        <w:rPr>
          <w:rFonts w:ascii="Times New Roman" w:hAnsi="Times New Roman" w:cs="Times New Roman"/>
          <w:sz w:val="24"/>
          <w:szCs w:val="24"/>
          <w:lang w:val="en-US"/>
        </w:rPr>
        <w:t xml:space="preserve"> encapsulates the trilemma of global economic integration: Countries may enjoy any combination of two aspects: monetary autonomy (setting one’s interest rate), choice of exchange rate system (fixed/pegged or free/floating), and free capital mobility. </w:t>
      </w:r>
      <w:r w:rsidR="007627EB" w:rsidRPr="00F17126">
        <w:rPr>
          <w:rFonts w:ascii="Times New Roman" w:hAnsi="Times New Roman" w:cs="Times New Roman"/>
          <w:sz w:val="24"/>
          <w:szCs w:val="24"/>
          <w:lang w:val="en-US"/>
        </w:rPr>
        <w:t>However, i</w:t>
      </w:r>
      <w:r w:rsidRPr="00F17126">
        <w:rPr>
          <w:rFonts w:ascii="Times New Roman" w:hAnsi="Times New Roman" w:cs="Times New Roman"/>
          <w:sz w:val="24"/>
          <w:szCs w:val="24"/>
          <w:lang w:val="en-US"/>
        </w:rPr>
        <w:t>t has been shown theoretical</w:t>
      </w:r>
      <w:r w:rsidR="00A6018A" w:rsidRPr="00F17126">
        <w:rPr>
          <w:rFonts w:ascii="Times New Roman" w:hAnsi="Times New Roman" w:cs="Times New Roman"/>
          <w:sz w:val="24"/>
          <w:szCs w:val="24"/>
          <w:lang w:val="en-US"/>
        </w:rPr>
        <w:t xml:space="preserve">ly </w:t>
      </w:r>
      <w:r w:rsidRPr="00F17126">
        <w:rPr>
          <w:rFonts w:ascii="Times New Roman" w:hAnsi="Times New Roman" w:cs="Times New Roman"/>
          <w:sz w:val="24"/>
          <w:szCs w:val="24"/>
          <w:lang w:val="en-US"/>
        </w:rPr>
        <w:t xml:space="preserve">and </w:t>
      </w:r>
      <w:r w:rsidR="00A6018A" w:rsidRPr="00F17126">
        <w:rPr>
          <w:rFonts w:ascii="Times New Roman" w:hAnsi="Times New Roman" w:cs="Times New Roman"/>
          <w:sz w:val="24"/>
          <w:szCs w:val="24"/>
          <w:lang w:val="en-US"/>
        </w:rPr>
        <w:t xml:space="preserve">through </w:t>
      </w:r>
      <w:r w:rsidRPr="00F17126">
        <w:rPr>
          <w:rFonts w:ascii="Times New Roman" w:hAnsi="Times New Roman" w:cs="Times New Roman"/>
          <w:sz w:val="24"/>
          <w:szCs w:val="24"/>
          <w:lang w:val="en-US"/>
        </w:rPr>
        <w:t xml:space="preserve">empirical </w:t>
      </w:r>
      <w:r w:rsidR="00A6018A" w:rsidRPr="00F17126">
        <w:rPr>
          <w:rFonts w:ascii="Times New Roman" w:hAnsi="Times New Roman" w:cs="Times New Roman"/>
          <w:sz w:val="24"/>
          <w:szCs w:val="24"/>
          <w:lang w:val="en-US"/>
        </w:rPr>
        <w:t>work</w:t>
      </w:r>
      <w:r w:rsidRPr="00F17126">
        <w:rPr>
          <w:rFonts w:ascii="Times New Roman" w:hAnsi="Times New Roman" w:cs="Times New Roman"/>
          <w:sz w:val="24"/>
          <w:szCs w:val="24"/>
          <w:lang w:val="en-US"/>
        </w:rPr>
        <w:t xml:space="preserve"> that not all three goals can be </w:t>
      </w:r>
      <w:r w:rsidR="002F7025" w:rsidRPr="00F17126">
        <w:rPr>
          <w:rFonts w:ascii="Times New Roman" w:hAnsi="Times New Roman" w:cs="Times New Roman"/>
          <w:sz w:val="24"/>
          <w:szCs w:val="24"/>
          <w:lang w:val="en-US"/>
        </w:rPr>
        <w:t xml:space="preserve">fully </w:t>
      </w:r>
      <w:r w:rsidRPr="00F17126">
        <w:rPr>
          <w:rFonts w:ascii="Times New Roman" w:hAnsi="Times New Roman" w:cs="Times New Roman"/>
          <w:sz w:val="24"/>
          <w:szCs w:val="24"/>
          <w:lang w:val="en-US"/>
        </w:rPr>
        <w:t>achieved simultaneously</w:t>
      </w:r>
      <w:r w:rsidR="0053415B">
        <w:rPr>
          <w:rFonts w:ascii="Times New Roman" w:hAnsi="Times New Roman" w:cs="Times New Roman"/>
          <w:sz w:val="24"/>
          <w:szCs w:val="24"/>
          <w:lang w:val="en-US"/>
        </w:rPr>
        <w:t xml:space="preserve">. Economists have discussed this </w:t>
      </w:r>
      <w:r w:rsidRPr="00F17126">
        <w:rPr>
          <w:rFonts w:ascii="Times New Roman" w:hAnsi="Times New Roman" w:cs="Times New Roman"/>
          <w:sz w:val="24"/>
          <w:szCs w:val="24"/>
          <w:lang w:val="en-US"/>
        </w:rPr>
        <w:t>“impossible trinity”</w:t>
      </w:r>
      <w:r w:rsidR="00F525C8" w:rsidRPr="0009104A">
        <w:rPr>
          <w:rFonts w:ascii="Times New Roman" w:hAnsi="Times New Roman" w:cs="Times New Roman"/>
          <w:sz w:val="24"/>
          <w:szCs w:val="24"/>
        </w:rPr>
        <w:t xml:space="preserve"> </w:t>
      </w:r>
      <w:r w:rsidR="0053415B">
        <w:rPr>
          <w:rFonts w:ascii="Times New Roman" w:hAnsi="Times New Roman" w:cs="Times New Roman"/>
          <w:sz w:val="24"/>
          <w:szCs w:val="24"/>
        </w:rPr>
        <w:t xml:space="preserve">extensively </w:t>
      </w:r>
      <w:r w:rsidRPr="00F17126">
        <w:rPr>
          <w:rFonts w:ascii="Times New Roman" w:hAnsi="Times New Roman" w:cs="Times New Roman"/>
          <w:sz w:val="24"/>
          <w:szCs w:val="24"/>
          <w:lang w:val="en-US"/>
        </w:rPr>
        <w:t>(e.g., Krugman</w:t>
      </w:r>
      <w:r w:rsidR="00D11EA5" w:rsidRPr="00F17126">
        <w:rPr>
          <w:rFonts w:ascii="Times New Roman" w:hAnsi="Times New Roman" w:cs="Times New Roman"/>
          <w:sz w:val="24"/>
          <w:szCs w:val="24"/>
          <w:lang w:val="en-US"/>
        </w:rPr>
        <w:t>,</w:t>
      </w:r>
      <w:r w:rsidR="007627EB"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1999; </w:t>
      </w:r>
      <w:r w:rsidR="00FC11B4">
        <w:rPr>
          <w:rFonts w:ascii="Times New Roman" w:hAnsi="Times New Roman" w:cs="Times New Roman"/>
          <w:sz w:val="24"/>
          <w:szCs w:val="24"/>
          <w:lang w:val="en-US"/>
        </w:rPr>
        <w:t xml:space="preserve">Obstfeld, </w:t>
      </w:r>
      <w:r w:rsidR="00906DF0">
        <w:rPr>
          <w:rFonts w:ascii="Times New Roman" w:hAnsi="Times New Roman" w:cs="Times New Roman"/>
          <w:sz w:val="24"/>
          <w:szCs w:val="24"/>
          <w:lang w:val="en-US"/>
        </w:rPr>
        <w:t xml:space="preserve">2004, </w:t>
      </w:r>
      <w:r w:rsidR="00FC11B4">
        <w:rPr>
          <w:rFonts w:ascii="Times New Roman" w:hAnsi="Times New Roman" w:cs="Times New Roman"/>
          <w:sz w:val="24"/>
          <w:szCs w:val="24"/>
          <w:lang w:val="en-US"/>
        </w:rPr>
        <w:t>2005</w:t>
      </w:r>
      <w:r w:rsidR="00906DF0">
        <w:rPr>
          <w:rFonts w:ascii="Times New Roman" w:hAnsi="Times New Roman" w:cs="Times New Roman"/>
          <w:sz w:val="24"/>
          <w:szCs w:val="24"/>
          <w:lang w:val="en-US"/>
        </w:rPr>
        <w:t>, 2010</w:t>
      </w:r>
      <w:r w:rsidR="00FC11B4">
        <w:rPr>
          <w:rFonts w:ascii="Times New Roman" w:hAnsi="Times New Roman" w:cs="Times New Roman"/>
          <w:sz w:val="24"/>
          <w:szCs w:val="24"/>
          <w:lang w:val="en-US"/>
        </w:rPr>
        <w:t>;</w:t>
      </w:r>
      <w:r w:rsidR="00E21EA4">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Bluedorn, 2010</w:t>
      </w:r>
      <w:r w:rsidR="00906DF0">
        <w:rPr>
          <w:rFonts w:ascii="Times New Roman" w:hAnsi="Times New Roman" w:cs="Times New Roman"/>
          <w:sz w:val="24"/>
          <w:szCs w:val="24"/>
          <w:lang w:val="en-US"/>
        </w:rPr>
        <w:t>).</w:t>
      </w:r>
    </w:p>
    <w:p w14:paraId="02B1581E" w14:textId="2C5FDF8E" w:rsidR="000115C7" w:rsidRPr="00F17126" w:rsidRDefault="00F16F4A"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Dani Rodrik</w:t>
      </w:r>
      <w:r w:rsidRPr="00F17126">
        <w:rPr>
          <w:rFonts w:ascii="Times New Roman" w:hAnsi="Times New Roman" w:cs="Times New Roman"/>
          <w:sz w:val="24"/>
          <w:szCs w:val="24"/>
          <w:lang w:val="en-US"/>
        </w:rPr>
        <w:t xml:space="preserve"> </w:t>
      </w:r>
      <w:r w:rsidR="00815707">
        <w:rPr>
          <w:rFonts w:ascii="Times New Roman" w:hAnsi="Times New Roman" w:cs="Times New Roman"/>
          <w:sz w:val="24"/>
          <w:szCs w:val="24"/>
          <w:lang w:val="en-US"/>
        </w:rPr>
        <w:t xml:space="preserve">(2007) </w:t>
      </w:r>
      <w:r>
        <w:rPr>
          <w:rFonts w:ascii="Times New Roman" w:hAnsi="Times New Roman" w:cs="Times New Roman"/>
          <w:sz w:val="24"/>
          <w:szCs w:val="24"/>
          <w:lang w:val="en-US"/>
        </w:rPr>
        <w:t>has proposed a</w:t>
      </w:r>
      <w:r w:rsidR="007627EB" w:rsidRPr="00F17126">
        <w:rPr>
          <w:rFonts w:ascii="Times New Roman" w:hAnsi="Times New Roman" w:cs="Times New Roman"/>
          <w:sz w:val="24"/>
          <w:szCs w:val="24"/>
          <w:lang w:val="en-US"/>
        </w:rPr>
        <w:t xml:space="preserve"> second </w:t>
      </w:r>
      <w:r w:rsidR="000115C7" w:rsidRPr="00F17126">
        <w:rPr>
          <w:rFonts w:ascii="Times New Roman" w:hAnsi="Times New Roman" w:cs="Times New Roman"/>
          <w:sz w:val="24"/>
          <w:szCs w:val="24"/>
          <w:lang w:val="en-US"/>
        </w:rPr>
        <w:t>trilemma: It is impossible to simultaneously enjoy deep economic integration, national sovereignty, and democratic (domestic) politics.</w:t>
      </w:r>
    </w:p>
    <w:p w14:paraId="3D504636" w14:textId="666152D2" w:rsidR="00ED5907" w:rsidRPr="00F17126" w:rsidRDefault="0053415B" w:rsidP="009C477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We consider a</w:t>
      </w:r>
      <w:r w:rsidR="00F16F4A">
        <w:rPr>
          <w:rFonts w:ascii="Times New Roman" w:hAnsi="Times New Roman" w:cs="Times New Roman"/>
          <w:sz w:val="24"/>
          <w:szCs w:val="24"/>
          <w:lang w:val="en-US"/>
        </w:rPr>
        <w:t>ll</w:t>
      </w:r>
      <w:r w:rsidR="000115C7" w:rsidRPr="00F17126">
        <w:rPr>
          <w:rFonts w:ascii="Times New Roman" w:hAnsi="Times New Roman" w:cs="Times New Roman"/>
          <w:sz w:val="24"/>
          <w:szCs w:val="24"/>
          <w:lang w:val="en-US"/>
        </w:rPr>
        <w:t xml:space="preserve"> of </w:t>
      </w:r>
      <w:r w:rsidR="002F7025" w:rsidRPr="00F17126">
        <w:rPr>
          <w:rFonts w:ascii="Times New Roman" w:hAnsi="Times New Roman" w:cs="Times New Roman"/>
          <w:sz w:val="24"/>
          <w:szCs w:val="24"/>
          <w:lang w:val="en-US"/>
        </w:rPr>
        <w:t xml:space="preserve">Barrett’s </w:t>
      </w:r>
      <w:r w:rsidR="00AC652E">
        <w:rPr>
          <w:rFonts w:ascii="Times New Roman" w:hAnsi="Times New Roman" w:cs="Times New Roman"/>
          <w:sz w:val="24"/>
          <w:szCs w:val="24"/>
          <w:lang w:val="en-US"/>
        </w:rPr>
        <w:t>(2003)</w:t>
      </w:r>
      <w:r w:rsidR="002F7025" w:rsidRPr="00F17126">
        <w:rPr>
          <w:rFonts w:ascii="Times New Roman" w:hAnsi="Times New Roman" w:cs="Times New Roman"/>
          <w:sz w:val="24"/>
          <w:szCs w:val="24"/>
          <w:lang w:val="en-US"/>
        </w:rPr>
        <w:t xml:space="preserve"> </w:t>
      </w:r>
      <w:r w:rsidR="000115C7" w:rsidRPr="00F17126">
        <w:rPr>
          <w:rFonts w:ascii="Times New Roman" w:hAnsi="Times New Roman" w:cs="Times New Roman"/>
          <w:sz w:val="24"/>
          <w:szCs w:val="24"/>
          <w:lang w:val="en-US"/>
        </w:rPr>
        <w:t xml:space="preserve">three components at length </w:t>
      </w:r>
      <w:r w:rsidR="002F7025" w:rsidRPr="00F17126">
        <w:rPr>
          <w:rFonts w:ascii="Times New Roman" w:hAnsi="Times New Roman" w:cs="Times New Roman"/>
          <w:sz w:val="24"/>
          <w:szCs w:val="24"/>
          <w:lang w:val="en-US"/>
        </w:rPr>
        <w:t>later (sections 4 through 6)</w:t>
      </w:r>
      <w:r w:rsidR="000115C7" w:rsidRPr="00F17126">
        <w:rPr>
          <w:rFonts w:ascii="Times New Roman" w:hAnsi="Times New Roman" w:cs="Times New Roman"/>
          <w:sz w:val="24"/>
          <w:szCs w:val="24"/>
          <w:lang w:val="en-US"/>
        </w:rPr>
        <w:t xml:space="preserve">.  </w:t>
      </w:r>
      <w:r w:rsidR="002F7025" w:rsidRPr="00F17126">
        <w:rPr>
          <w:rFonts w:ascii="Times New Roman" w:hAnsi="Times New Roman" w:cs="Times New Roman"/>
          <w:sz w:val="24"/>
          <w:szCs w:val="24"/>
          <w:lang w:val="en-US"/>
        </w:rPr>
        <w:t xml:space="preserve">Note that it </w:t>
      </w:r>
      <w:r w:rsidR="000115C7" w:rsidRPr="00F17126">
        <w:rPr>
          <w:rFonts w:ascii="Times New Roman" w:hAnsi="Times New Roman" w:cs="Times New Roman"/>
          <w:sz w:val="24"/>
          <w:szCs w:val="24"/>
          <w:lang w:val="en-US"/>
        </w:rPr>
        <w:t xml:space="preserve">is </w:t>
      </w:r>
      <w:r w:rsidR="00815707">
        <w:rPr>
          <w:rFonts w:ascii="Times New Roman" w:hAnsi="Times New Roman" w:cs="Times New Roman"/>
          <w:sz w:val="24"/>
          <w:szCs w:val="24"/>
          <w:lang w:val="en-US"/>
        </w:rPr>
        <w:t xml:space="preserve">fairly </w:t>
      </w:r>
      <w:r w:rsidR="00436F25" w:rsidRPr="00F17126">
        <w:rPr>
          <w:rFonts w:ascii="Times New Roman" w:hAnsi="Times New Roman" w:cs="Times New Roman"/>
          <w:sz w:val="24"/>
          <w:szCs w:val="24"/>
          <w:lang w:val="en-US"/>
        </w:rPr>
        <w:t>easy</w:t>
      </w:r>
      <w:r w:rsidR="000115C7" w:rsidRPr="00F17126">
        <w:rPr>
          <w:rFonts w:ascii="Times New Roman" w:hAnsi="Times New Roman" w:cs="Times New Roman"/>
          <w:sz w:val="24"/>
          <w:szCs w:val="24"/>
          <w:lang w:val="en-US"/>
        </w:rPr>
        <w:t xml:space="preserve"> to </w:t>
      </w:r>
      <w:r w:rsidR="002F7025" w:rsidRPr="00F17126">
        <w:rPr>
          <w:rFonts w:ascii="Times New Roman" w:hAnsi="Times New Roman" w:cs="Times New Roman"/>
          <w:sz w:val="24"/>
          <w:szCs w:val="24"/>
          <w:lang w:val="en-US"/>
        </w:rPr>
        <w:t xml:space="preserve">achieve any one of these components </w:t>
      </w:r>
      <w:r w:rsidR="000115C7" w:rsidRPr="00F17126">
        <w:rPr>
          <w:rFonts w:ascii="Times New Roman" w:hAnsi="Times New Roman" w:cs="Times New Roman"/>
          <w:sz w:val="24"/>
          <w:szCs w:val="24"/>
          <w:lang w:val="en-US"/>
        </w:rPr>
        <w:t>to a high degree</w:t>
      </w:r>
      <w:r w:rsidR="00ED5907" w:rsidRPr="00F17126">
        <w:rPr>
          <w:rFonts w:ascii="Times New Roman" w:hAnsi="Times New Roman" w:cs="Times New Roman"/>
          <w:sz w:val="24"/>
          <w:szCs w:val="24"/>
          <w:lang w:val="en-US"/>
        </w:rPr>
        <w:t xml:space="preserve"> in a climate agreement</w:t>
      </w:r>
      <w:r w:rsidR="000115C7" w:rsidRPr="00F17126">
        <w:rPr>
          <w:rFonts w:ascii="Times New Roman" w:hAnsi="Times New Roman" w:cs="Times New Roman"/>
          <w:sz w:val="24"/>
          <w:szCs w:val="24"/>
          <w:lang w:val="en-US"/>
        </w:rPr>
        <w:t xml:space="preserve">. For example, </w:t>
      </w:r>
      <w:r w:rsidR="002F7025" w:rsidRPr="00F17126">
        <w:rPr>
          <w:rFonts w:ascii="Times New Roman" w:hAnsi="Times New Roman" w:cs="Times New Roman"/>
          <w:sz w:val="24"/>
          <w:szCs w:val="24"/>
          <w:lang w:val="en-US"/>
        </w:rPr>
        <w:t xml:space="preserve">the PA has in practice already achieved </w:t>
      </w:r>
      <w:r w:rsidR="00E12754">
        <w:rPr>
          <w:rFonts w:ascii="Times New Roman" w:hAnsi="Times New Roman" w:cs="Times New Roman"/>
          <w:sz w:val="24"/>
          <w:szCs w:val="24"/>
          <w:lang w:val="en-US"/>
        </w:rPr>
        <w:t>very broad</w:t>
      </w:r>
      <w:r w:rsidR="002F7025" w:rsidRPr="00F17126">
        <w:rPr>
          <w:rFonts w:ascii="Times New Roman" w:hAnsi="Times New Roman" w:cs="Times New Roman"/>
          <w:sz w:val="24"/>
          <w:szCs w:val="24"/>
          <w:lang w:val="en-US"/>
        </w:rPr>
        <w:t xml:space="preserve"> participation</w:t>
      </w:r>
      <w:r>
        <w:rPr>
          <w:rFonts w:ascii="Times New Roman" w:hAnsi="Times New Roman" w:cs="Times New Roman"/>
          <w:sz w:val="24"/>
          <w:szCs w:val="24"/>
          <w:lang w:val="en-US"/>
        </w:rPr>
        <w:t xml:space="preserve"> (see section 4). </w:t>
      </w:r>
      <w:r w:rsidR="002F7025" w:rsidRPr="00F17126">
        <w:rPr>
          <w:rFonts w:ascii="Times New Roman" w:hAnsi="Times New Roman" w:cs="Times New Roman"/>
          <w:sz w:val="24"/>
          <w:szCs w:val="24"/>
          <w:lang w:val="en-US"/>
        </w:rPr>
        <w:t xml:space="preserve">Similarly, deep commitments could </w:t>
      </w:r>
      <w:r w:rsidR="00436F25" w:rsidRPr="00F17126">
        <w:rPr>
          <w:rFonts w:ascii="Times New Roman" w:hAnsi="Times New Roman" w:cs="Times New Roman"/>
          <w:sz w:val="24"/>
          <w:szCs w:val="24"/>
          <w:lang w:val="en-US"/>
        </w:rPr>
        <w:t xml:space="preserve">presumably </w:t>
      </w:r>
      <w:r w:rsidR="002F7025" w:rsidRPr="00F17126">
        <w:rPr>
          <w:rFonts w:ascii="Times New Roman" w:hAnsi="Times New Roman" w:cs="Times New Roman"/>
          <w:sz w:val="24"/>
          <w:szCs w:val="24"/>
          <w:lang w:val="en-US"/>
        </w:rPr>
        <w:t xml:space="preserve">be achieved </w:t>
      </w:r>
      <w:r w:rsidR="00436F25" w:rsidRPr="00F17126">
        <w:rPr>
          <w:rFonts w:ascii="Times New Roman" w:hAnsi="Times New Roman" w:cs="Times New Roman"/>
          <w:sz w:val="24"/>
          <w:szCs w:val="24"/>
          <w:lang w:val="en-US"/>
        </w:rPr>
        <w:t>in an agreement between only</w:t>
      </w:r>
      <w:r w:rsidR="002F7025" w:rsidRPr="00F17126">
        <w:rPr>
          <w:rFonts w:ascii="Times New Roman" w:hAnsi="Times New Roman" w:cs="Times New Roman"/>
          <w:sz w:val="24"/>
          <w:szCs w:val="24"/>
          <w:lang w:val="en-US"/>
        </w:rPr>
        <w:t xml:space="preserve"> the most enthusiastic countries</w:t>
      </w:r>
      <w:r w:rsidR="00ED5907" w:rsidRPr="00F17126">
        <w:rPr>
          <w:rFonts w:ascii="Times New Roman" w:hAnsi="Times New Roman" w:cs="Times New Roman"/>
          <w:sz w:val="24"/>
          <w:szCs w:val="24"/>
          <w:lang w:val="en-US"/>
        </w:rPr>
        <w:t xml:space="preserve">. Finally, high compliance rates could be achieved by simply watering down commitments to near business-as-usual </w:t>
      </w:r>
      <w:r w:rsidR="006C0350" w:rsidRPr="00F17126">
        <w:rPr>
          <w:rFonts w:ascii="Times New Roman" w:hAnsi="Times New Roman" w:cs="Times New Roman"/>
          <w:sz w:val="24"/>
          <w:szCs w:val="24"/>
          <w:lang w:val="en-US"/>
        </w:rPr>
        <w:t>(</w:t>
      </w:r>
      <w:r w:rsidR="008D4F20">
        <w:rPr>
          <w:rFonts w:ascii="Times New Roman" w:hAnsi="Times New Roman" w:cs="Times New Roman"/>
          <w:sz w:val="24"/>
          <w:szCs w:val="24"/>
          <w:lang w:val="en-US"/>
        </w:rPr>
        <w:t>BAU</w:t>
      </w:r>
      <w:r w:rsidR="006C0350" w:rsidRPr="00F17126">
        <w:rPr>
          <w:rFonts w:ascii="Times New Roman" w:hAnsi="Times New Roman" w:cs="Times New Roman"/>
          <w:sz w:val="24"/>
          <w:szCs w:val="24"/>
          <w:lang w:val="en-US"/>
        </w:rPr>
        <w:t xml:space="preserve">) </w:t>
      </w:r>
      <w:r w:rsidR="00ED5907" w:rsidRPr="00F17126">
        <w:rPr>
          <w:rFonts w:ascii="Times New Roman" w:hAnsi="Times New Roman" w:cs="Times New Roman"/>
          <w:sz w:val="24"/>
          <w:szCs w:val="24"/>
          <w:lang w:val="en-US"/>
        </w:rPr>
        <w:t xml:space="preserve">levels. </w:t>
      </w:r>
    </w:p>
    <w:p w14:paraId="0DD2519A" w14:textId="7E0EFD49" w:rsidR="000115C7" w:rsidRPr="00F17126" w:rsidRDefault="00815707" w:rsidP="009C477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Barrett (2003), even </w:t>
      </w:r>
      <w:r w:rsidR="000115C7" w:rsidRPr="00F17126">
        <w:rPr>
          <w:rFonts w:ascii="Times New Roman" w:hAnsi="Times New Roman" w:cs="Times New Roman"/>
          <w:sz w:val="24"/>
          <w:szCs w:val="24"/>
          <w:lang w:val="en-US"/>
        </w:rPr>
        <w:t>high scores o</w:t>
      </w:r>
      <w:r w:rsidR="00435C96" w:rsidRPr="00F17126">
        <w:rPr>
          <w:rFonts w:ascii="Times New Roman" w:hAnsi="Times New Roman" w:cs="Times New Roman"/>
          <w:sz w:val="24"/>
          <w:szCs w:val="24"/>
          <w:lang w:val="en-US"/>
        </w:rPr>
        <w:t>n</w:t>
      </w:r>
      <w:r w:rsidR="000115C7" w:rsidRPr="00F17126">
        <w:rPr>
          <w:rFonts w:ascii="Times New Roman" w:hAnsi="Times New Roman" w:cs="Times New Roman"/>
          <w:sz w:val="24"/>
          <w:szCs w:val="24"/>
          <w:lang w:val="en-US"/>
        </w:rPr>
        <w:t xml:space="preserve"> two </w:t>
      </w:r>
      <w:r w:rsidR="00435C96" w:rsidRPr="00F17126">
        <w:rPr>
          <w:rFonts w:ascii="Times New Roman" w:hAnsi="Times New Roman" w:cs="Times New Roman"/>
          <w:sz w:val="24"/>
          <w:szCs w:val="24"/>
          <w:lang w:val="en-US"/>
        </w:rPr>
        <w:t>components</w:t>
      </w:r>
      <w:r w:rsidR="000115C7" w:rsidRPr="00F17126">
        <w:rPr>
          <w:rFonts w:ascii="Times New Roman" w:hAnsi="Times New Roman" w:cs="Times New Roman"/>
          <w:sz w:val="24"/>
          <w:szCs w:val="24"/>
          <w:lang w:val="en-US"/>
        </w:rPr>
        <w:t xml:space="preserve"> </w:t>
      </w:r>
      <w:r>
        <w:rPr>
          <w:rFonts w:ascii="Times New Roman" w:hAnsi="Times New Roman" w:cs="Times New Roman"/>
          <w:sz w:val="24"/>
          <w:szCs w:val="24"/>
          <w:lang w:val="en-US"/>
        </w:rPr>
        <w:t>might be achieved, but would likely be accompanied by</w:t>
      </w:r>
      <w:r w:rsidR="00436F25" w:rsidRPr="00F17126">
        <w:rPr>
          <w:rFonts w:ascii="Times New Roman" w:hAnsi="Times New Roman" w:cs="Times New Roman"/>
          <w:sz w:val="24"/>
          <w:szCs w:val="24"/>
          <w:lang w:val="en-US"/>
        </w:rPr>
        <w:t xml:space="preserve"> a </w:t>
      </w:r>
      <w:r w:rsidR="0053415B">
        <w:rPr>
          <w:rFonts w:ascii="Times New Roman" w:hAnsi="Times New Roman" w:cs="Times New Roman"/>
          <w:sz w:val="24"/>
          <w:szCs w:val="24"/>
          <w:lang w:val="en-US"/>
        </w:rPr>
        <w:t xml:space="preserve">very </w:t>
      </w:r>
      <w:r w:rsidR="000115C7" w:rsidRPr="00F17126">
        <w:rPr>
          <w:rFonts w:ascii="Times New Roman" w:hAnsi="Times New Roman" w:cs="Times New Roman"/>
          <w:sz w:val="24"/>
          <w:szCs w:val="24"/>
          <w:lang w:val="en-US"/>
        </w:rPr>
        <w:t>mode</w:t>
      </w:r>
      <w:r w:rsidR="00435C96" w:rsidRPr="00F17126">
        <w:rPr>
          <w:rFonts w:ascii="Times New Roman" w:hAnsi="Times New Roman" w:cs="Times New Roman"/>
          <w:sz w:val="24"/>
          <w:szCs w:val="24"/>
          <w:lang w:val="en-US"/>
        </w:rPr>
        <w:t xml:space="preserve">rate </w:t>
      </w:r>
      <w:r w:rsidR="00436F25" w:rsidRPr="00F17126">
        <w:rPr>
          <w:rFonts w:ascii="Times New Roman" w:hAnsi="Times New Roman" w:cs="Times New Roman"/>
          <w:sz w:val="24"/>
          <w:szCs w:val="24"/>
          <w:lang w:val="en-US"/>
        </w:rPr>
        <w:t>score</w:t>
      </w:r>
      <w:r w:rsidR="00435C96" w:rsidRPr="00F17126">
        <w:rPr>
          <w:rFonts w:ascii="Times New Roman" w:hAnsi="Times New Roman" w:cs="Times New Roman"/>
          <w:sz w:val="24"/>
          <w:szCs w:val="24"/>
          <w:lang w:val="en-US"/>
        </w:rPr>
        <w:t xml:space="preserve"> o</w:t>
      </w:r>
      <w:r w:rsidR="00436F25" w:rsidRPr="00F17126">
        <w:rPr>
          <w:rFonts w:ascii="Times New Roman" w:hAnsi="Times New Roman" w:cs="Times New Roman"/>
          <w:sz w:val="24"/>
          <w:szCs w:val="24"/>
          <w:lang w:val="en-US"/>
        </w:rPr>
        <w:t>n</w:t>
      </w:r>
      <w:r w:rsidR="00435C96" w:rsidRPr="00F17126">
        <w:rPr>
          <w:rFonts w:ascii="Times New Roman" w:hAnsi="Times New Roman" w:cs="Times New Roman"/>
          <w:sz w:val="24"/>
          <w:szCs w:val="24"/>
          <w:lang w:val="en-US"/>
        </w:rPr>
        <w:t xml:space="preserve"> the third</w:t>
      </w:r>
      <w:r>
        <w:rPr>
          <w:rFonts w:ascii="Times New Roman" w:hAnsi="Times New Roman" w:cs="Times New Roman"/>
          <w:sz w:val="24"/>
          <w:szCs w:val="24"/>
          <w:lang w:val="en-US"/>
        </w:rPr>
        <w:t xml:space="preserve">. For example, only few countries would likely be willing to participate in a climate agreement with deep commitments and strong </w:t>
      </w:r>
      <w:r w:rsidR="00E12754">
        <w:rPr>
          <w:rFonts w:ascii="Times New Roman" w:hAnsi="Times New Roman" w:cs="Times New Roman"/>
          <w:sz w:val="24"/>
          <w:szCs w:val="24"/>
          <w:lang w:val="en-US"/>
        </w:rPr>
        <w:t xml:space="preserve">enough </w:t>
      </w:r>
      <w:r>
        <w:rPr>
          <w:rFonts w:ascii="Times New Roman" w:hAnsi="Times New Roman" w:cs="Times New Roman"/>
          <w:sz w:val="24"/>
          <w:szCs w:val="24"/>
          <w:lang w:val="en-US"/>
        </w:rPr>
        <w:t>enforcement pro</w:t>
      </w:r>
      <w:r w:rsidR="0053415B">
        <w:rPr>
          <w:rFonts w:ascii="Times New Roman" w:hAnsi="Times New Roman" w:cs="Times New Roman"/>
          <w:sz w:val="24"/>
          <w:szCs w:val="24"/>
          <w:lang w:val="en-US"/>
        </w:rPr>
        <w:t>visions</w:t>
      </w:r>
      <w:r>
        <w:rPr>
          <w:rFonts w:ascii="Times New Roman" w:hAnsi="Times New Roman" w:cs="Times New Roman"/>
          <w:sz w:val="24"/>
          <w:szCs w:val="24"/>
          <w:lang w:val="en-US"/>
        </w:rPr>
        <w:t xml:space="preserve"> t</w:t>
      </w:r>
      <w:r w:rsidR="0053415B">
        <w:rPr>
          <w:rFonts w:ascii="Times New Roman" w:hAnsi="Times New Roman" w:cs="Times New Roman"/>
          <w:sz w:val="24"/>
          <w:szCs w:val="24"/>
          <w:lang w:val="en-US"/>
        </w:rPr>
        <w:t>o</w:t>
      </w:r>
      <w:r>
        <w:rPr>
          <w:rFonts w:ascii="Times New Roman" w:hAnsi="Times New Roman" w:cs="Times New Roman"/>
          <w:sz w:val="24"/>
          <w:szCs w:val="24"/>
          <w:lang w:val="en-US"/>
        </w:rPr>
        <w:t xml:space="preserve"> ensure </w:t>
      </w:r>
      <w:r w:rsidR="00E12754">
        <w:rPr>
          <w:rFonts w:ascii="Times New Roman" w:hAnsi="Times New Roman" w:cs="Times New Roman"/>
          <w:sz w:val="24"/>
          <w:szCs w:val="24"/>
          <w:lang w:val="en-US"/>
        </w:rPr>
        <w:t xml:space="preserve">practically </w:t>
      </w:r>
      <w:r w:rsidR="0053415B">
        <w:rPr>
          <w:rFonts w:ascii="Times New Roman" w:hAnsi="Times New Roman" w:cs="Times New Roman"/>
          <w:sz w:val="24"/>
          <w:szCs w:val="24"/>
          <w:lang w:val="en-US"/>
        </w:rPr>
        <w:t>full</w:t>
      </w:r>
      <w:r>
        <w:rPr>
          <w:rFonts w:ascii="Times New Roman" w:hAnsi="Times New Roman" w:cs="Times New Roman"/>
          <w:sz w:val="24"/>
          <w:szCs w:val="24"/>
          <w:lang w:val="en-US"/>
        </w:rPr>
        <w:t xml:space="preserve"> compliance.</w:t>
      </w:r>
    </w:p>
    <w:p w14:paraId="116B2DE6" w14:textId="1BF94597" w:rsidR="000115C7" w:rsidRPr="00F17126" w:rsidRDefault="00815707" w:rsidP="009C477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Thus</w:t>
      </w:r>
      <w:r w:rsidR="00600B63" w:rsidRPr="00F17126">
        <w:rPr>
          <w:rFonts w:ascii="Times New Roman" w:hAnsi="Times New Roman" w:cs="Times New Roman"/>
          <w:sz w:val="24"/>
          <w:szCs w:val="24"/>
          <w:lang w:val="en-US"/>
        </w:rPr>
        <w:t xml:space="preserve">, it appears that Barrett’s </w:t>
      </w:r>
      <w:r w:rsidR="00AC652E">
        <w:rPr>
          <w:rFonts w:ascii="Times New Roman" w:hAnsi="Times New Roman" w:cs="Times New Roman"/>
          <w:sz w:val="24"/>
          <w:szCs w:val="24"/>
          <w:lang w:val="en-US"/>
        </w:rPr>
        <w:t>(</w:t>
      </w:r>
      <w:r w:rsidR="000115C7" w:rsidRPr="00F17126">
        <w:rPr>
          <w:rFonts w:ascii="Times New Roman" w:hAnsi="Times New Roman" w:cs="Times New Roman"/>
          <w:sz w:val="24"/>
          <w:szCs w:val="24"/>
          <w:lang w:val="en-US"/>
        </w:rPr>
        <w:t>2003</w:t>
      </w:r>
      <w:r w:rsidR="00AC652E">
        <w:rPr>
          <w:rFonts w:ascii="Times New Roman" w:hAnsi="Times New Roman" w:cs="Times New Roman"/>
          <w:sz w:val="24"/>
          <w:szCs w:val="24"/>
          <w:lang w:val="en-US"/>
        </w:rPr>
        <w:t>)</w:t>
      </w:r>
      <w:r w:rsidR="000115C7" w:rsidRPr="00F17126">
        <w:rPr>
          <w:rFonts w:ascii="Times New Roman" w:hAnsi="Times New Roman" w:cs="Times New Roman"/>
          <w:sz w:val="24"/>
          <w:szCs w:val="24"/>
          <w:lang w:val="en-US"/>
        </w:rPr>
        <w:t xml:space="preserve"> dictum for effective global climate (and </w:t>
      </w:r>
      <w:r w:rsidR="008A55F4" w:rsidRPr="00F17126">
        <w:rPr>
          <w:rFonts w:ascii="Times New Roman" w:hAnsi="Times New Roman" w:cs="Times New Roman"/>
          <w:sz w:val="24"/>
          <w:szCs w:val="24"/>
          <w:lang w:val="en-US"/>
        </w:rPr>
        <w:t xml:space="preserve">other </w:t>
      </w:r>
      <w:r w:rsidR="000115C7" w:rsidRPr="00F17126">
        <w:rPr>
          <w:rFonts w:ascii="Times New Roman" w:hAnsi="Times New Roman" w:cs="Times New Roman"/>
          <w:sz w:val="24"/>
          <w:szCs w:val="24"/>
          <w:lang w:val="en-US"/>
        </w:rPr>
        <w:t xml:space="preserve">environmental) </w:t>
      </w:r>
      <w:r>
        <w:rPr>
          <w:rFonts w:ascii="Times New Roman" w:hAnsi="Times New Roman" w:cs="Times New Roman"/>
          <w:sz w:val="24"/>
          <w:szCs w:val="24"/>
          <w:lang w:val="en-US"/>
        </w:rPr>
        <w:t>agreement</w:t>
      </w:r>
      <w:r w:rsidR="000115C7" w:rsidRPr="00F17126">
        <w:rPr>
          <w:rFonts w:ascii="Times New Roman" w:hAnsi="Times New Roman" w:cs="Times New Roman"/>
          <w:sz w:val="24"/>
          <w:szCs w:val="24"/>
          <w:lang w:val="en-US"/>
        </w:rPr>
        <w:t xml:space="preserve">s resembles </w:t>
      </w:r>
      <w:r w:rsidR="00E12754">
        <w:rPr>
          <w:rFonts w:ascii="Times New Roman" w:hAnsi="Times New Roman" w:cs="Times New Roman"/>
          <w:sz w:val="24"/>
          <w:szCs w:val="24"/>
          <w:lang w:val="en-US"/>
        </w:rPr>
        <w:t>the</w:t>
      </w:r>
      <w:r w:rsidR="000115C7" w:rsidRPr="00F17126">
        <w:rPr>
          <w:rFonts w:ascii="Times New Roman" w:hAnsi="Times New Roman" w:cs="Times New Roman"/>
          <w:sz w:val="24"/>
          <w:szCs w:val="24"/>
          <w:lang w:val="en-US"/>
        </w:rPr>
        <w:t xml:space="preserve"> impossible t</w:t>
      </w:r>
      <w:r w:rsidR="00497D99" w:rsidRPr="00F17126">
        <w:rPr>
          <w:rFonts w:ascii="Times New Roman" w:hAnsi="Times New Roman" w:cs="Times New Roman"/>
          <w:sz w:val="24"/>
          <w:szCs w:val="24"/>
          <w:lang w:val="en-US"/>
        </w:rPr>
        <w:t>rinity</w:t>
      </w:r>
      <w:r w:rsidR="000115C7" w:rsidRPr="00F17126">
        <w:rPr>
          <w:rFonts w:ascii="Times New Roman" w:hAnsi="Times New Roman" w:cs="Times New Roman"/>
          <w:sz w:val="24"/>
          <w:szCs w:val="24"/>
          <w:lang w:val="en-US"/>
        </w:rPr>
        <w:t xml:space="preserve">. Absent a cost-effective and socially acceptable technical genie, at nearly any point in time, the trilemma may lead to trade-offs that politicians </w:t>
      </w:r>
      <w:r w:rsidR="003F6B7C">
        <w:rPr>
          <w:rFonts w:ascii="Times New Roman" w:hAnsi="Times New Roman" w:cs="Times New Roman"/>
          <w:sz w:val="24"/>
          <w:szCs w:val="24"/>
          <w:lang w:val="en-US"/>
        </w:rPr>
        <w:t>seeking</w:t>
      </w:r>
      <w:r w:rsidR="00D350E3" w:rsidRPr="00F17126">
        <w:rPr>
          <w:rFonts w:ascii="Times New Roman" w:hAnsi="Times New Roman" w:cs="Times New Roman"/>
          <w:sz w:val="24"/>
          <w:szCs w:val="24"/>
          <w:lang w:val="en-US"/>
        </w:rPr>
        <w:t xml:space="preserve"> </w:t>
      </w:r>
      <w:r w:rsidR="000115C7" w:rsidRPr="00F17126">
        <w:rPr>
          <w:rFonts w:ascii="Times New Roman" w:hAnsi="Times New Roman" w:cs="Times New Roman"/>
          <w:sz w:val="24"/>
          <w:szCs w:val="24"/>
          <w:lang w:val="en-US"/>
        </w:rPr>
        <w:t xml:space="preserve">re-election </w:t>
      </w:r>
      <w:r w:rsidR="003F6B7C">
        <w:rPr>
          <w:rFonts w:ascii="Times New Roman" w:hAnsi="Times New Roman" w:cs="Times New Roman"/>
          <w:sz w:val="24"/>
          <w:szCs w:val="24"/>
          <w:lang w:val="en-US"/>
        </w:rPr>
        <w:t>must</w:t>
      </w:r>
      <w:r w:rsidR="000115C7" w:rsidRPr="00F17126">
        <w:rPr>
          <w:rFonts w:ascii="Times New Roman" w:hAnsi="Times New Roman" w:cs="Times New Roman"/>
          <w:sz w:val="24"/>
          <w:szCs w:val="24"/>
          <w:lang w:val="en-US"/>
        </w:rPr>
        <w:t xml:space="preserve"> contend with.</w:t>
      </w:r>
      <w:r w:rsidR="00497D99" w:rsidRPr="00F17126">
        <w:rPr>
          <w:rFonts w:ascii="Times New Roman" w:hAnsi="Times New Roman" w:cs="Times New Roman"/>
          <w:sz w:val="24"/>
          <w:szCs w:val="24"/>
          <w:lang w:val="en-US"/>
        </w:rPr>
        <w:t xml:space="preserve"> In the next three sections, we </w:t>
      </w:r>
      <w:r w:rsidR="00497D99" w:rsidRPr="00F17126">
        <w:rPr>
          <w:rFonts w:ascii="Times New Roman" w:hAnsi="Times New Roman" w:cs="Times New Roman"/>
          <w:sz w:val="24"/>
          <w:szCs w:val="24"/>
          <w:lang w:val="en-US"/>
        </w:rPr>
        <w:lastRenderedPageBreak/>
        <w:t xml:space="preserve">consider how the </w:t>
      </w:r>
      <w:r w:rsidR="00DC7AF2">
        <w:rPr>
          <w:rFonts w:ascii="Times New Roman" w:hAnsi="Times New Roman" w:cs="Times New Roman"/>
          <w:sz w:val="24"/>
          <w:szCs w:val="24"/>
          <w:lang w:val="en-US"/>
        </w:rPr>
        <w:t>PA</w:t>
      </w:r>
      <w:r w:rsidR="00497D99" w:rsidRPr="00F17126">
        <w:rPr>
          <w:rFonts w:ascii="Times New Roman" w:hAnsi="Times New Roman" w:cs="Times New Roman"/>
          <w:sz w:val="24"/>
          <w:szCs w:val="24"/>
          <w:lang w:val="en-US"/>
        </w:rPr>
        <w:t xml:space="preserve"> can be expected to do </w:t>
      </w:r>
      <w:r w:rsidR="00DC7AF2">
        <w:rPr>
          <w:rFonts w:ascii="Times New Roman" w:hAnsi="Times New Roman" w:cs="Times New Roman"/>
          <w:sz w:val="24"/>
          <w:szCs w:val="24"/>
          <w:lang w:val="en-US"/>
        </w:rPr>
        <w:t>regarding</w:t>
      </w:r>
      <w:r w:rsidR="00497D99" w:rsidRPr="00F17126">
        <w:rPr>
          <w:rFonts w:ascii="Times New Roman" w:hAnsi="Times New Roman" w:cs="Times New Roman"/>
          <w:sz w:val="24"/>
          <w:szCs w:val="24"/>
          <w:lang w:val="en-US"/>
        </w:rPr>
        <w:t xml:space="preserve"> participation, commitment depth, and compliance.</w:t>
      </w:r>
    </w:p>
    <w:p w14:paraId="57CC7F29" w14:textId="77777777" w:rsidR="00A3303E" w:rsidRPr="00F17126" w:rsidRDefault="00A3303E" w:rsidP="009C477E">
      <w:pPr>
        <w:spacing w:after="120" w:line="360" w:lineRule="auto"/>
        <w:rPr>
          <w:rFonts w:ascii="Times New Roman" w:eastAsia="Calibri" w:hAnsi="Times New Roman" w:cs="Times New Roman"/>
          <w:sz w:val="24"/>
          <w:szCs w:val="24"/>
          <w:lang w:val="en-US"/>
        </w:rPr>
      </w:pPr>
    </w:p>
    <w:p w14:paraId="5B3720FC" w14:textId="77777777" w:rsidR="000115C7" w:rsidRPr="00F17126" w:rsidRDefault="00590D22" w:rsidP="009C477E">
      <w:pPr>
        <w:spacing w:after="120" w:line="360" w:lineRule="auto"/>
        <w:rPr>
          <w:rFonts w:ascii="Times New Roman" w:eastAsia="Calibri" w:hAnsi="Times New Roman" w:cs="Times New Roman"/>
          <w:b/>
          <w:sz w:val="24"/>
          <w:szCs w:val="24"/>
          <w:lang w:val="en-US"/>
        </w:rPr>
      </w:pPr>
      <w:r w:rsidRPr="00F17126">
        <w:rPr>
          <w:rFonts w:ascii="Times New Roman" w:eastAsia="Calibri" w:hAnsi="Times New Roman" w:cs="Times New Roman"/>
          <w:b/>
          <w:sz w:val="24"/>
          <w:szCs w:val="24"/>
          <w:lang w:val="en-US"/>
        </w:rPr>
        <w:t>4</w:t>
      </w:r>
      <w:r w:rsidR="000115C7" w:rsidRPr="00F17126">
        <w:rPr>
          <w:rFonts w:ascii="Times New Roman" w:eastAsia="Calibri" w:hAnsi="Times New Roman" w:cs="Times New Roman"/>
          <w:b/>
          <w:sz w:val="24"/>
          <w:szCs w:val="24"/>
          <w:lang w:val="en-US"/>
        </w:rPr>
        <w:t>. Participation</w:t>
      </w:r>
    </w:p>
    <w:p w14:paraId="6CF93C42" w14:textId="58111BBF" w:rsidR="000115C7" w:rsidRPr="00F17126" w:rsidRDefault="000F42B5" w:rsidP="009C477E">
      <w:pPr>
        <w:spacing w:after="120" w:line="360" w:lineRule="auto"/>
        <w:rPr>
          <w:rFonts w:ascii="Times New Roman" w:eastAsia="Calibri" w:hAnsi="Times New Roman" w:cs="Times New Roman"/>
          <w:i/>
          <w:sz w:val="24"/>
          <w:szCs w:val="24"/>
          <w:lang w:val="en-US"/>
        </w:rPr>
      </w:pPr>
      <w:r w:rsidRPr="00F17126">
        <w:rPr>
          <w:rFonts w:ascii="Times New Roman" w:eastAsia="Calibri" w:hAnsi="Times New Roman" w:cs="Times New Roman"/>
          <w:i/>
          <w:sz w:val="24"/>
          <w:szCs w:val="24"/>
          <w:lang w:val="en-US"/>
        </w:rPr>
        <w:t xml:space="preserve">4.1 </w:t>
      </w:r>
      <w:r w:rsidR="000115C7" w:rsidRPr="00F17126">
        <w:rPr>
          <w:rFonts w:ascii="Times New Roman" w:eastAsia="Calibri" w:hAnsi="Times New Roman" w:cs="Times New Roman"/>
          <w:i/>
          <w:sz w:val="24"/>
          <w:szCs w:val="24"/>
          <w:lang w:val="en-US"/>
        </w:rPr>
        <w:t>Actors</w:t>
      </w:r>
    </w:p>
    <w:p w14:paraId="1A9E1ED9" w14:textId="0F4193F5" w:rsidR="00497D99" w:rsidRPr="00F17126" w:rsidRDefault="00620E4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The </w:t>
      </w:r>
      <w:r w:rsidR="00820E8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stands out as</w:t>
      </w:r>
      <w:r w:rsidR="003B628B" w:rsidRPr="00F17126">
        <w:rPr>
          <w:rFonts w:ascii="Times New Roman" w:eastAsia="Calibri" w:hAnsi="Times New Roman" w:cs="Times New Roman"/>
          <w:sz w:val="24"/>
          <w:szCs w:val="24"/>
          <w:lang w:val="en-US"/>
        </w:rPr>
        <w:t xml:space="preserve"> </w:t>
      </w:r>
      <w:r w:rsidR="00DC7AF2">
        <w:rPr>
          <w:rFonts w:ascii="Times New Roman" w:eastAsia="Calibri" w:hAnsi="Times New Roman" w:cs="Times New Roman"/>
          <w:sz w:val="24"/>
          <w:szCs w:val="24"/>
          <w:lang w:val="en-US"/>
        </w:rPr>
        <w:t xml:space="preserve">having </w:t>
      </w:r>
      <w:r w:rsidR="003B628B" w:rsidRPr="00F17126">
        <w:rPr>
          <w:rFonts w:ascii="Times New Roman" w:eastAsia="Calibri" w:hAnsi="Times New Roman" w:cs="Times New Roman"/>
          <w:sz w:val="24"/>
          <w:szCs w:val="24"/>
          <w:lang w:val="en-US"/>
        </w:rPr>
        <w:t>the most inclusive set of commitment</w:t>
      </w:r>
      <w:r w:rsidR="00510A91" w:rsidRPr="00F17126">
        <w:rPr>
          <w:rFonts w:ascii="Times New Roman" w:eastAsia="Calibri" w:hAnsi="Times New Roman" w:cs="Times New Roman"/>
          <w:sz w:val="24"/>
          <w:szCs w:val="24"/>
          <w:lang w:val="en-US"/>
        </w:rPr>
        <w:t xml:space="preserve">s </w:t>
      </w:r>
      <w:r w:rsidRPr="00F17126">
        <w:rPr>
          <w:rFonts w:ascii="Times New Roman" w:eastAsia="Calibri" w:hAnsi="Times New Roman" w:cs="Times New Roman"/>
          <w:sz w:val="24"/>
          <w:szCs w:val="24"/>
          <w:lang w:val="en-US"/>
        </w:rPr>
        <w:t xml:space="preserve">ever made </w:t>
      </w:r>
      <w:r w:rsidR="00510A91" w:rsidRPr="00F17126">
        <w:rPr>
          <w:rFonts w:ascii="Times New Roman" w:eastAsia="Calibri" w:hAnsi="Times New Roman" w:cs="Times New Roman"/>
          <w:sz w:val="24"/>
          <w:szCs w:val="24"/>
          <w:lang w:val="en-US"/>
        </w:rPr>
        <w:t>by</w:t>
      </w:r>
      <w:r w:rsidR="003B628B" w:rsidRPr="00F17126">
        <w:rPr>
          <w:rFonts w:ascii="Times New Roman" w:eastAsia="Calibri" w:hAnsi="Times New Roman" w:cs="Times New Roman"/>
          <w:sz w:val="24"/>
          <w:szCs w:val="24"/>
          <w:lang w:val="en-US"/>
        </w:rPr>
        <w:t xml:space="preserve"> UN members to climate change mitigation. </w:t>
      </w:r>
      <w:r w:rsidR="00FE635F">
        <w:rPr>
          <w:rFonts w:ascii="Times New Roman" w:eastAsia="Calibri" w:hAnsi="Times New Roman" w:cs="Times New Roman"/>
          <w:sz w:val="24"/>
          <w:szCs w:val="24"/>
          <w:lang w:val="en-US"/>
        </w:rPr>
        <w:t>As of September 2018</w:t>
      </w:r>
      <w:r w:rsidR="00D350E3" w:rsidRPr="00F17126">
        <w:rPr>
          <w:rFonts w:ascii="Times New Roman" w:eastAsia="Calibri" w:hAnsi="Times New Roman" w:cs="Times New Roman"/>
          <w:sz w:val="24"/>
          <w:szCs w:val="24"/>
          <w:lang w:val="en-US"/>
        </w:rPr>
        <w:t xml:space="preserve">, </w:t>
      </w:r>
      <w:r w:rsidR="00510A91" w:rsidRPr="00F17126">
        <w:rPr>
          <w:rFonts w:ascii="Times New Roman" w:eastAsia="Calibri" w:hAnsi="Times New Roman" w:cs="Times New Roman"/>
          <w:sz w:val="24"/>
          <w:szCs w:val="24"/>
          <w:lang w:val="en-US"/>
        </w:rPr>
        <w:t>19</w:t>
      </w:r>
      <w:r w:rsidR="00D350E3" w:rsidRPr="00F17126">
        <w:rPr>
          <w:rFonts w:ascii="Times New Roman" w:eastAsia="Calibri" w:hAnsi="Times New Roman" w:cs="Times New Roman"/>
          <w:sz w:val="24"/>
          <w:szCs w:val="24"/>
          <w:lang w:val="en-US"/>
        </w:rPr>
        <w:t xml:space="preserve">7 </w:t>
      </w:r>
      <w:r w:rsidR="00777C40">
        <w:rPr>
          <w:rFonts w:ascii="Times New Roman" w:eastAsia="Calibri" w:hAnsi="Times New Roman" w:cs="Times New Roman"/>
          <w:sz w:val="24"/>
          <w:szCs w:val="24"/>
          <w:lang w:val="en-US"/>
        </w:rPr>
        <w:t>Parties</w:t>
      </w:r>
      <w:r w:rsidR="00D350E3" w:rsidRPr="00F17126">
        <w:rPr>
          <w:rFonts w:ascii="Times New Roman" w:eastAsia="Calibri" w:hAnsi="Times New Roman" w:cs="Times New Roman"/>
          <w:sz w:val="24"/>
          <w:szCs w:val="24"/>
          <w:lang w:val="en-US"/>
        </w:rPr>
        <w:t xml:space="preserve"> </w:t>
      </w:r>
      <w:r w:rsidR="00525516" w:rsidRPr="00F17126">
        <w:rPr>
          <w:rFonts w:ascii="Times New Roman" w:eastAsia="Calibri" w:hAnsi="Times New Roman" w:cs="Times New Roman"/>
          <w:sz w:val="24"/>
          <w:szCs w:val="24"/>
          <w:lang w:val="en-US"/>
        </w:rPr>
        <w:t>ha</w:t>
      </w:r>
      <w:r w:rsidR="00FE635F">
        <w:rPr>
          <w:rFonts w:ascii="Times New Roman" w:eastAsia="Calibri" w:hAnsi="Times New Roman" w:cs="Times New Roman"/>
          <w:sz w:val="24"/>
          <w:szCs w:val="24"/>
          <w:lang w:val="en-US"/>
        </w:rPr>
        <w:t>d</w:t>
      </w:r>
      <w:r w:rsidR="00525516" w:rsidRPr="00F17126">
        <w:rPr>
          <w:rFonts w:ascii="Times New Roman" w:eastAsia="Calibri" w:hAnsi="Times New Roman" w:cs="Times New Roman"/>
          <w:sz w:val="24"/>
          <w:szCs w:val="24"/>
          <w:lang w:val="en-US"/>
        </w:rPr>
        <w:t xml:space="preserve"> signed</w:t>
      </w:r>
      <w:r w:rsidR="00FE635F">
        <w:rPr>
          <w:rFonts w:ascii="Times New Roman" w:eastAsia="Calibri" w:hAnsi="Times New Roman" w:cs="Times New Roman"/>
          <w:sz w:val="24"/>
          <w:szCs w:val="24"/>
          <w:lang w:val="en-US"/>
        </w:rPr>
        <w:t xml:space="preserve"> the PA</w:t>
      </w:r>
      <w:r w:rsidR="00D350E3" w:rsidRPr="00F17126">
        <w:rPr>
          <w:rFonts w:ascii="Times New Roman" w:eastAsia="Calibri" w:hAnsi="Times New Roman" w:cs="Times New Roman"/>
          <w:sz w:val="24"/>
          <w:szCs w:val="24"/>
          <w:lang w:val="en-US"/>
        </w:rPr>
        <w:t xml:space="preserve"> and</w:t>
      </w:r>
      <w:r w:rsidR="00510A91" w:rsidRPr="00F17126">
        <w:rPr>
          <w:rFonts w:ascii="Times New Roman" w:eastAsia="Calibri" w:hAnsi="Times New Roman" w:cs="Times New Roman"/>
          <w:sz w:val="24"/>
          <w:szCs w:val="24"/>
          <w:lang w:val="en-US"/>
        </w:rPr>
        <w:t xml:space="preserve"> 180 ha</w:t>
      </w:r>
      <w:r w:rsidR="00FE635F">
        <w:rPr>
          <w:rFonts w:ascii="Times New Roman" w:eastAsia="Calibri" w:hAnsi="Times New Roman" w:cs="Times New Roman"/>
          <w:sz w:val="24"/>
          <w:szCs w:val="24"/>
          <w:lang w:val="en-US"/>
        </w:rPr>
        <w:t>d</w:t>
      </w:r>
      <w:r w:rsidR="00510A91" w:rsidRPr="00F17126">
        <w:rPr>
          <w:rFonts w:ascii="Times New Roman" w:eastAsia="Calibri" w:hAnsi="Times New Roman" w:cs="Times New Roman"/>
          <w:sz w:val="24"/>
          <w:szCs w:val="24"/>
          <w:lang w:val="en-US"/>
        </w:rPr>
        <w:t xml:space="preserve"> </w:t>
      </w:r>
      <w:r w:rsidR="00FE635F">
        <w:rPr>
          <w:rFonts w:ascii="Times New Roman" w:eastAsia="Calibri" w:hAnsi="Times New Roman" w:cs="Times New Roman"/>
          <w:sz w:val="24"/>
          <w:szCs w:val="24"/>
          <w:lang w:val="en-US"/>
        </w:rPr>
        <w:t>ratified</w:t>
      </w:r>
      <w:r w:rsidR="00510A91" w:rsidRPr="00F17126">
        <w:rPr>
          <w:rFonts w:ascii="Times New Roman" w:eastAsia="Calibri" w:hAnsi="Times New Roman" w:cs="Times New Roman"/>
          <w:sz w:val="24"/>
          <w:szCs w:val="24"/>
          <w:lang w:val="en-US"/>
        </w:rPr>
        <w:t xml:space="preserve"> </w:t>
      </w:r>
      <w:r w:rsidR="00FE635F">
        <w:rPr>
          <w:rFonts w:ascii="Times New Roman" w:eastAsia="Calibri" w:hAnsi="Times New Roman" w:cs="Times New Roman"/>
          <w:sz w:val="24"/>
          <w:szCs w:val="24"/>
          <w:lang w:val="en-US"/>
        </w:rPr>
        <w:t>it</w:t>
      </w:r>
      <w:r w:rsidR="00537282" w:rsidRPr="00F17126">
        <w:rPr>
          <w:rFonts w:ascii="Times New Roman" w:eastAsia="Calibri" w:hAnsi="Times New Roman" w:cs="Times New Roman"/>
          <w:sz w:val="24"/>
          <w:szCs w:val="24"/>
          <w:lang w:val="en-US"/>
        </w:rPr>
        <w:t>, while 176 ha</w:t>
      </w:r>
      <w:r w:rsidR="00FE635F">
        <w:rPr>
          <w:rFonts w:ascii="Times New Roman" w:eastAsia="Calibri" w:hAnsi="Times New Roman" w:cs="Times New Roman"/>
          <w:sz w:val="24"/>
          <w:szCs w:val="24"/>
          <w:lang w:val="en-US"/>
        </w:rPr>
        <w:t>d</w:t>
      </w:r>
      <w:r w:rsidR="00537282" w:rsidRPr="00F17126">
        <w:rPr>
          <w:rFonts w:ascii="Times New Roman" w:eastAsia="Calibri" w:hAnsi="Times New Roman" w:cs="Times New Roman"/>
          <w:sz w:val="24"/>
          <w:szCs w:val="24"/>
          <w:lang w:val="en-US"/>
        </w:rPr>
        <w:t xml:space="preserve"> submitted an NDC.</w:t>
      </w:r>
      <w:r w:rsidR="00510A91" w:rsidRPr="00F17126">
        <w:rPr>
          <w:rFonts w:ascii="Times New Roman" w:eastAsia="Calibri" w:hAnsi="Times New Roman" w:cs="Times New Roman"/>
          <w:sz w:val="24"/>
          <w:szCs w:val="24"/>
          <w:lang w:val="en-US"/>
        </w:rPr>
        <w:t xml:space="preserve"> </w:t>
      </w:r>
      <w:r w:rsidR="00777C40">
        <w:rPr>
          <w:rFonts w:ascii="Times New Roman" w:eastAsia="Calibri" w:hAnsi="Times New Roman" w:cs="Times New Roman"/>
          <w:sz w:val="24"/>
          <w:szCs w:val="24"/>
          <w:lang w:val="en-US"/>
        </w:rPr>
        <w:t>T</w:t>
      </w:r>
      <w:r w:rsidR="00510A91" w:rsidRPr="00F17126">
        <w:rPr>
          <w:rFonts w:ascii="Times New Roman" w:eastAsia="Calibri" w:hAnsi="Times New Roman" w:cs="Times New Roman"/>
          <w:sz w:val="24"/>
          <w:szCs w:val="24"/>
          <w:lang w:val="en-US"/>
        </w:rPr>
        <w:t xml:space="preserve">hese </w:t>
      </w:r>
      <w:r w:rsidR="00D350E3" w:rsidRPr="00F17126">
        <w:rPr>
          <w:rFonts w:ascii="Times New Roman" w:eastAsia="Calibri" w:hAnsi="Times New Roman" w:cs="Times New Roman"/>
          <w:sz w:val="24"/>
          <w:szCs w:val="24"/>
          <w:lang w:val="en-US"/>
        </w:rPr>
        <w:t xml:space="preserve">176 </w:t>
      </w:r>
      <w:r w:rsidR="00777C40">
        <w:rPr>
          <w:rFonts w:ascii="Times New Roman" w:eastAsia="Calibri" w:hAnsi="Times New Roman" w:cs="Times New Roman"/>
          <w:sz w:val="24"/>
          <w:szCs w:val="24"/>
          <w:lang w:val="en-US"/>
        </w:rPr>
        <w:t>Parties</w:t>
      </w:r>
      <w:r w:rsidR="00510A91" w:rsidRPr="00F17126">
        <w:rPr>
          <w:rFonts w:ascii="Times New Roman" w:eastAsia="Calibri" w:hAnsi="Times New Roman" w:cs="Times New Roman"/>
          <w:sz w:val="24"/>
          <w:szCs w:val="24"/>
          <w:lang w:val="en-US"/>
        </w:rPr>
        <w:t xml:space="preserve"> </w:t>
      </w:r>
      <w:r w:rsidR="00777C40">
        <w:rPr>
          <w:rFonts w:ascii="Times New Roman" w:eastAsia="Calibri" w:hAnsi="Times New Roman" w:cs="Times New Roman"/>
          <w:sz w:val="24"/>
          <w:szCs w:val="24"/>
          <w:lang w:val="en-US"/>
        </w:rPr>
        <w:t>were responsible for</w:t>
      </w:r>
      <w:r w:rsidR="00FE635F">
        <w:rPr>
          <w:rFonts w:ascii="Times New Roman" w:eastAsia="Calibri" w:hAnsi="Times New Roman" w:cs="Times New Roman"/>
          <w:sz w:val="24"/>
          <w:szCs w:val="24"/>
          <w:lang w:val="en-US"/>
        </w:rPr>
        <w:t xml:space="preserve"> </w:t>
      </w:r>
      <w:r w:rsidR="00510A91" w:rsidRPr="00F17126">
        <w:rPr>
          <w:rFonts w:ascii="Times New Roman" w:eastAsia="Calibri" w:hAnsi="Times New Roman" w:cs="Times New Roman"/>
          <w:sz w:val="24"/>
          <w:szCs w:val="24"/>
          <w:lang w:val="en-US"/>
        </w:rPr>
        <w:t>about 90</w:t>
      </w:r>
      <w:r w:rsidR="008D4F20">
        <w:rPr>
          <w:rFonts w:ascii="Times New Roman" w:eastAsia="Calibri" w:hAnsi="Times New Roman" w:cs="Times New Roman"/>
          <w:sz w:val="24"/>
          <w:szCs w:val="24"/>
          <w:lang w:val="en-US"/>
        </w:rPr>
        <w:t>%</w:t>
      </w:r>
      <w:r w:rsidR="00510A91" w:rsidRPr="00F17126">
        <w:rPr>
          <w:rFonts w:ascii="Times New Roman" w:eastAsia="Calibri" w:hAnsi="Times New Roman" w:cs="Times New Roman"/>
          <w:sz w:val="24"/>
          <w:szCs w:val="24"/>
          <w:lang w:val="en-US"/>
        </w:rPr>
        <w:t xml:space="preserve"> of global GHG emissions. </w:t>
      </w:r>
      <w:r w:rsidR="00FB2531" w:rsidRPr="00F17126">
        <w:rPr>
          <w:rFonts w:ascii="Times New Roman" w:eastAsia="Calibri" w:hAnsi="Times New Roman" w:cs="Times New Roman"/>
          <w:sz w:val="24"/>
          <w:szCs w:val="24"/>
          <w:lang w:val="en-US"/>
        </w:rPr>
        <w:t>Russia</w:t>
      </w:r>
      <w:r w:rsidR="003C3AA5" w:rsidRPr="00F17126">
        <w:rPr>
          <w:rFonts w:ascii="Times New Roman" w:eastAsia="Calibri" w:hAnsi="Times New Roman" w:cs="Times New Roman"/>
          <w:sz w:val="24"/>
          <w:szCs w:val="24"/>
          <w:lang w:val="en-US"/>
        </w:rPr>
        <w:t xml:space="preserve"> –</w:t>
      </w:r>
      <w:r w:rsidR="00FB2531" w:rsidRPr="00F17126">
        <w:rPr>
          <w:rFonts w:ascii="Times New Roman" w:eastAsia="Calibri" w:hAnsi="Times New Roman" w:cs="Times New Roman"/>
          <w:sz w:val="24"/>
          <w:szCs w:val="24"/>
          <w:lang w:val="en-US"/>
        </w:rPr>
        <w:t xml:space="preserve"> </w:t>
      </w:r>
      <w:r w:rsidR="003C3AA5" w:rsidRPr="00F17126">
        <w:rPr>
          <w:rFonts w:ascii="Times New Roman" w:eastAsia="Calibri" w:hAnsi="Times New Roman" w:cs="Times New Roman"/>
          <w:sz w:val="24"/>
          <w:szCs w:val="24"/>
          <w:lang w:val="en-US"/>
        </w:rPr>
        <w:t>responsible for about 5</w:t>
      </w:r>
      <w:r w:rsidR="008D4F20">
        <w:rPr>
          <w:rFonts w:ascii="Times New Roman" w:eastAsia="Calibri" w:hAnsi="Times New Roman" w:cs="Times New Roman"/>
          <w:sz w:val="24"/>
          <w:szCs w:val="24"/>
          <w:lang w:val="en-US"/>
        </w:rPr>
        <w:t>%</w:t>
      </w:r>
      <w:r w:rsidR="003C3AA5" w:rsidRPr="00F17126">
        <w:rPr>
          <w:rFonts w:ascii="Times New Roman" w:eastAsia="Calibri" w:hAnsi="Times New Roman" w:cs="Times New Roman"/>
          <w:sz w:val="24"/>
          <w:szCs w:val="24"/>
          <w:lang w:val="en-US"/>
        </w:rPr>
        <w:t xml:space="preserve"> of global </w:t>
      </w:r>
      <w:r w:rsidR="00DC7AF2">
        <w:rPr>
          <w:rFonts w:ascii="Times New Roman" w:eastAsia="Calibri" w:hAnsi="Times New Roman" w:cs="Times New Roman"/>
          <w:sz w:val="24"/>
          <w:szCs w:val="24"/>
          <w:lang w:val="en-US"/>
        </w:rPr>
        <w:t xml:space="preserve">GHG </w:t>
      </w:r>
      <w:r w:rsidR="003C3AA5" w:rsidRPr="00F17126">
        <w:rPr>
          <w:rFonts w:ascii="Times New Roman" w:eastAsia="Calibri" w:hAnsi="Times New Roman" w:cs="Times New Roman"/>
          <w:sz w:val="24"/>
          <w:szCs w:val="24"/>
          <w:lang w:val="en-US"/>
        </w:rPr>
        <w:t>emissions –</w:t>
      </w:r>
      <w:r w:rsidR="00291A1D">
        <w:rPr>
          <w:rFonts w:ascii="Times New Roman" w:eastAsia="Calibri" w:hAnsi="Times New Roman" w:cs="Times New Roman"/>
          <w:sz w:val="24"/>
          <w:szCs w:val="24"/>
          <w:lang w:val="en-US"/>
        </w:rPr>
        <w:t xml:space="preserve"> was</w:t>
      </w:r>
      <w:r w:rsidR="00FB2531" w:rsidRPr="00F17126">
        <w:rPr>
          <w:rFonts w:ascii="Times New Roman" w:eastAsia="Calibri" w:hAnsi="Times New Roman" w:cs="Times New Roman"/>
          <w:sz w:val="24"/>
          <w:szCs w:val="24"/>
          <w:lang w:val="en-US"/>
        </w:rPr>
        <w:t xml:space="preserve"> the largest </w:t>
      </w:r>
      <w:r w:rsidR="00497D99" w:rsidRPr="00F17126">
        <w:rPr>
          <w:rFonts w:ascii="Times New Roman" w:eastAsia="Calibri" w:hAnsi="Times New Roman" w:cs="Times New Roman"/>
          <w:sz w:val="24"/>
          <w:szCs w:val="24"/>
          <w:lang w:val="en-US"/>
        </w:rPr>
        <w:t>emitter</w:t>
      </w:r>
      <w:r w:rsidRPr="00F17126">
        <w:rPr>
          <w:rFonts w:ascii="Times New Roman" w:eastAsia="Calibri" w:hAnsi="Times New Roman" w:cs="Times New Roman"/>
          <w:sz w:val="24"/>
          <w:szCs w:val="24"/>
          <w:lang w:val="en-US"/>
        </w:rPr>
        <w:t xml:space="preserve"> that </w:t>
      </w:r>
      <w:r w:rsidR="00291A1D">
        <w:rPr>
          <w:rFonts w:ascii="Times New Roman" w:eastAsia="Calibri" w:hAnsi="Times New Roman" w:cs="Times New Roman"/>
          <w:sz w:val="24"/>
          <w:szCs w:val="24"/>
          <w:lang w:val="en-US"/>
        </w:rPr>
        <w:t>had</w:t>
      </w:r>
      <w:r w:rsidR="00291A1D"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not ratified the agreement</w:t>
      </w:r>
      <w:r w:rsidR="00497D99" w:rsidRPr="00F17126">
        <w:rPr>
          <w:rFonts w:ascii="Times New Roman" w:eastAsia="Calibri" w:hAnsi="Times New Roman" w:cs="Times New Roman"/>
          <w:sz w:val="24"/>
          <w:szCs w:val="24"/>
          <w:lang w:val="en-US"/>
        </w:rPr>
        <w:t>; however, Russia</w:t>
      </w:r>
      <w:r w:rsidR="00537282" w:rsidRPr="00F17126">
        <w:rPr>
          <w:rFonts w:ascii="Times New Roman" w:eastAsia="Calibri" w:hAnsi="Times New Roman" w:cs="Times New Roman"/>
          <w:sz w:val="24"/>
          <w:szCs w:val="24"/>
          <w:lang w:val="en-US"/>
        </w:rPr>
        <w:t xml:space="preserve"> </w:t>
      </w:r>
      <w:r w:rsidR="00291A1D">
        <w:rPr>
          <w:rFonts w:ascii="Times New Roman" w:eastAsia="Calibri" w:hAnsi="Times New Roman" w:cs="Times New Roman"/>
          <w:sz w:val="24"/>
          <w:szCs w:val="24"/>
          <w:lang w:val="en-US"/>
        </w:rPr>
        <w:t>had</w:t>
      </w:r>
      <w:r w:rsidR="00291A1D" w:rsidRPr="00F17126">
        <w:rPr>
          <w:rFonts w:ascii="Times New Roman" w:eastAsia="Calibri" w:hAnsi="Times New Roman" w:cs="Times New Roman"/>
          <w:sz w:val="24"/>
          <w:szCs w:val="24"/>
          <w:lang w:val="en-US"/>
        </w:rPr>
        <w:t xml:space="preserve"> </w:t>
      </w:r>
      <w:r w:rsidR="00537282" w:rsidRPr="00F17126">
        <w:rPr>
          <w:rFonts w:ascii="Times New Roman" w:eastAsia="Calibri" w:hAnsi="Times New Roman" w:cs="Times New Roman"/>
          <w:sz w:val="24"/>
          <w:szCs w:val="24"/>
          <w:lang w:val="en-US"/>
        </w:rPr>
        <w:t>submitted an NDC</w:t>
      </w:r>
      <w:r w:rsidRPr="00F17126">
        <w:rPr>
          <w:rFonts w:ascii="Times New Roman" w:eastAsia="Calibri" w:hAnsi="Times New Roman" w:cs="Times New Roman"/>
          <w:sz w:val="24"/>
          <w:szCs w:val="24"/>
          <w:lang w:val="en-US"/>
        </w:rPr>
        <w:t xml:space="preserve">. </w:t>
      </w:r>
    </w:p>
    <w:p w14:paraId="3089B294" w14:textId="617CFE10" w:rsidR="00714BE4" w:rsidRPr="00F17126" w:rsidRDefault="008802DC">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A</w:t>
      </w:r>
      <w:r w:rsidR="00D350E3" w:rsidRPr="00F17126">
        <w:rPr>
          <w:rFonts w:ascii="Times New Roman" w:eastAsia="Calibri" w:hAnsi="Times New Roman" w:cs="Times New Roman"/>
          <w:sz w:val="24"/>
          <w:szCs w:val="24"/>
          <w:lang w:val="en-US"/>
        </w:rPr>
        <w:t xml:space="preserve"> major set</w:t>
      </w:r>
      <w:r w:rsidR="00537282" w:rsidRPr="00F17126">
        <w:rPr>
          <w:rFonts w:ascii="Times New Roman" w:eastAsia="Calibri" w:hAnsi="Times New Roman" w:cs="Times New Roman"/>
          <w:sz w:val="24"/>
          <w:szCs w:val="24"/>
          <w:lang w:val="en-US"/>
        </w:rPr>
        <w:t xml:space="preserve">back </w:t>
      </w:r>
      <w:r w:rsidR="00497D99" w:rsidRPr="00F17126">
        <w:rPr>
          <w:rFonts w:ascii="Times New Roman" w:eastAsia="Calibri" w:hAnsi="Times New Roman" w:cs="Times New Roman"/>
          <w:sz w:val="24"/>
          <w:szCs w:val="24"/>
          <w:lang w:val="en-US"/>
        </w:rPr>
        <w:t xml:space="preserve">concerning participation in the PA </w:t>
      </w:r>
      <w:r w:rsidR="00537282" w:rsidRPr="00F17126">
        <w:rPr>
          <w:rFonts w:ascii="Times New Roman" w:eastAsia="Calibri" w:hAnsi="Times New Roman" w:cs="Times New Roman"/>
          <w:sz w:val="24"/>
          <w:szCs w:val="24"/>
          <w:lang w:val="en-US"/>
        </w:rPr>
        <w:t>occurred in June 2017, when</w:t>
      </w:r>
      <w:r w:rsidR="00211600" w:rsidRPr="00F17126">
        <w:rPr>
          <w:rFonts w:ascii="Times New Roman" w:eastAsia="Calibri" w:hAnsi="Times New Roman" w:cs="Times New Roman"/>
          <w:sz w:val="24"/>
          <w:szCs w:val="24"/>
          <w:lang w:val="en-US"/>
        </w:rPr>
        <w:t xml:space="preserve"> </w:t>
      </w:r>
      <w:r w:rsidR="00FB2531" w:rsidRPr="00F17126">
        <w:rPr>
          <w:rFonts w:ascii="Times New Roman" w:eastAsia="Calibri" w:hAnsi="Times New Roman" w:cs="Times New Roman"/>
          <w:sz w:val="24"/>
          <w:szCs w:val="24"/>
          <w:lang w:val="en-US"/>
        </w:rPr>
        <w:t xml:space="preserve">President Trump </w:t>
      </w:r>
      <w:r w:rsidR="00537282" w:rsidRPr="00F17126">
        <w:rPr>
          <w:rFonts w:ascii="Times New Roman" w:eastAsia="Calibri" w:hAnsi="Times New Roman" w:cs="Times New Roman"/>
          <w:sz w:val="24"/>
          <w:szCs w:val="24"/>
          <w:lang w:val="en-US"/>
        </w:rPr>
        <w:t xml:space="preserve">announced </w:t>
      </w:r>
      <w:r w:rsidR="00DC7AF2">
        <w:rPr>
          <w:rFonts w:ascii="Times New Roman" w:eastAsia="Calibri" w:hAnsi="Times New Roman" w:cs="Times New Roman"/>
          <w:sz w:val="24"/>
          <w:szCs w:val="24"/>
          <w:lang w:val="en-US"/>
        </w:rPr>
        <w:t>his</w:t>
      </w:r>
      <w:r w:rsidR="00DC7AF2" w:rsidRPr="00F17126">
        <w:rPr>
          <w:rFonts w:ascii="Times New Roman" w:eastAsia="Calibri" w:hAnsi="Times New Roman" w:cs="Times New Roman"/>
          <w:sz w:val="24"/>
          <w:szCs w:val="24"/>
          <w:lang w:val="en-US"/>
        </w:rPr>
        <w:t xml:space="preserve"> </w:t>
      </w:r>
      <w:r w:rsidR="00537282" w:rsidRPr="00F17126">
        <w:rPr>
          <w:rFonts w:ascii="Times New Roman" w:eastAsia="Calibri" w:hAnsi="Times New Roman" w:cs="Times New Roman"/>
          <w:sz w:val="24"/>
          <w:szCs w:val="24"/>
          <w:lang w:val="en-US"/>
        </w:rPr>
        <w:t>intention to withdraw</w:t>
      </w:r>
      <w:r w:rsidR="00DC7AF2">
        <w:rPr>
          <w:rFonts w:ascii="Times New Roman" w:eastAsia="Calibri" w:hAnsi="Times New Roman" w:cs="Times New Roman"/>
          <w:sz w:val="24"/>
          <w:szCs w:val="24"/>
          <w:lang w:val="en-US"/>
        </w:rPr>
        <w:t xml:space="preserve"> the United States from the PA</w:t>
      </w:r>
      <w:r w:rsidR="00497D99" w:rsidRPr="00F17126">
        <w:rPr>
          <w:rFonts w:ascii="Times New Roman" w:eastAsia="Calibri" w:hAnsi="Times New Roman" w:cs="Times New Roman"/>
          <w:sz w:val="24"/>
          <w:szCs w:val="24"/>
          <w:lang w:val="en-US"/>
        </w:rPr>
        <w:t xml:space="preserve">. He also vowed to </w:t>
      </w:r>
      <w:r w:rsidR="00537282" w:rsidRPr="00F17126">
        <w:rPr>
          <w:rFonts w:ascii="Times New Roman" w:eastAsia="Calibri" w:hAnsi="Times New Roman" w:cs="Times New Roman"/>
          <w:sz w:val="24"/>
          <w:szCs w:val="24"/>
          <w:lang w:val="en-US"/>
        </w:rPr>
        <w:t>cease domestic implementation</w:t>
      </w:r>
      <w:r w:rsidR="00497D99" w:rsidRPr="00F17126">
        <w:rPr>
          <w:rFonts w:ascii="Times New Roman" w:eastAsia="Calibri" w:hAnsi="Times New Roman" w:cs="Times New Roman"/>
          <w:sz w:val="24"/>
          <w:szCs w:val="24"/>
          <w:lang w:val="en-US"/>
        </w:rPr>
        <w:t xml:space="preserve"> immediately</w:t>
      </w:r>
      <w:r w:rsidR="00211600"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However, </w:t>
      </w:r>
      <w:r w:rsidR="00E14EB5" w:rsidRPr="00F17126">
        <w:rPr>
          <w:rFonts w:ascii="Times New Roman" w:eastAsia="Calibri" w:hAnsi="Times New Roman" w:cs="Times New Roman"/>
          <w:sz w:val="24"/>
          <w:szCs w:val="24"/>
          <w:lang w:val="en-US"/>
        </w:rPr>
        <w:t>the short-term effect</w:t>
      </w:r>
      <w:r w:rsidR="00390B96" w:rsidRPr="00F17126">
        <w:rPr>
          <w:rFonts w:ascii="Times New Roman" w:eastAsia="Calibri" w:hAnsi="Times New Roman" w:cs="Times New Roman"/>
          <w:sz w:val="24"/>
          <w:szCs w:val="24"/>
          <w:lang w:val="en-US"/>
        </w:rPr>
        <w:t>s</w:t>
      </w:r>
      <w:r w:rsidR="00E14EB5" w:rsidRPr="00F17126">
        <w:rPr>
          <w:rFonts w:ascii="Times New Roman" w:eastAsia="Calibri" w:hAnsi="Times New Roman" w:cs="Times New Roman"/>
          <w:sz w:val="24"/>
          <w:szCs w:val="24"/>
          <w:lang w:val="en-US"/>
        </w:rPr>
        <w:t xml:space="preserve"> of </w:t>
      </w:r>
      <w:r w:rsidR="00923EBD">
        <w:rPr>
          <w:rFonts w:ascii="Times New Roman" w:eastAsia="Calibri" w:hAnsi="Times New Roman" w:cs="Times New Roman"/>
          <w:sz w:val="24"/>
          <w:szCs w:val="24"/>
          <w:lang w:val="en-US"/>
        </w:rPr>
        <w:t>his</w:t>
      </w:r>
      <w:r w:rsidR="00E14EB5" w:rsidRPr="00F17126">
        <w:rPr>
          <w:rFonts w:ascii="Times New Roman" w:eastAsia="Calibri" w:hAnsi="Times New Roman" w:cs="Times New Roman"/>
          <w:sz w:val="24"/>
          <w:szCs w:val="24"/>
          <w:lang w:val="en-US"/>
        </w:rPr>
        <w:t xml:space="preserve"> decision on </w:t>
      </w:r>
      <w:r w:rsidR="00620E4B" w:rsidRPr="00F17126">
        <w:rPr>
          <w:rFonts w:ascii="Times New Roman" w:eastAsia="Calibri" w:hAnsi="Times New Roman" w:cs="Times New Roman"/>
          <w:sz w:val="24"/>
          <w:szCs w:val="24"/>
          <w:lang w:val="en-US"/>
        </w:rPr>
        <w:t>actual US</w:t>
      </w:r>
      <w:r w:rsidR="00E14EB5" w:rsidRPr="00F17126">
        <w:rPr>
          <w:rFonts w:ascii="Times New Roman" w:eastAsia="Calibri" w:hAnsi="Times New Roman" w:cs="Times New Roman"/>
          <w:sz w:val="24"/>
          <w:szCs w:val="24"/>
          <w:lang w:val="en-US"/>
        </w:rPr>
        <w:t xml:space="preserve"> emissions need not be as large as </w:t>
      </w:r>
      <w:r w:rsidR="003C3AA5" w:rsidRPr="00F17126">
        <w:rPr>
          <w:rFonts w:ascii="Times New Roman" w:eastAsia="Calibri" w:hAnsi="Times New Roman" w:cs="Times New Roman"/>
          <w:sz w:val="24"/>
          <w:szCs w:val="24"/>
          <w:lang w:val="en-US"/>
        </w:rPr>
        <w:t xml:space="preserve">some </w:t>
      </w:r>
      <w:r w:rsidR="00E14EB5" w:rsidRPr="00F17126">
        <w:rPr>
          <w:rFonts w:ascii="Times New Roman" w:eastAsia="Calibri" w:hAnsi="Times New Roman" w:cs="Times New Roman"/>
          <w:sz w:val="24"/>
          <w:szCs w:val="24"/>
          <w:lang w:val="en-US"/>
        </w:rPr>
        <w:t>initially feared. Domestic countermoves include</w:t>
      </w:r>
      <w:r w:rsidR="00F26889" w:rsidRPr="00F17126">
        <w:rPr>
          <w:rFonts w:ascii="Times New Roman" w:eastAsia="Calibri" w:hAnsi="Times New Roman" w:cs="Times New Roman"/>
          <w:sz w:val="24"/>
          <w:szCs w:val="24"/>
          <w:lang w:val="en-US"/>
        </w:rPr>
        <w:t xml:space="preserve">, inter alia, </w:t>
      </w:r>
      <w:r w:rsidR="00A0421C">
        <w:rPr>
          <w:rFonts w:ascii="Times New Roman" w:eastAsia="Calibri" w:hAnsi="Times New Roman" w:cs="Times New Roman"/>
          <w:sz w:val="24"/>
          <w:szCs w:val="24"/>
          <w:lang w:val="en-US"/>
        </w:rPr>
        <w:t>establishing</w:t>
      </w:r>
      <w:r w:rsidR="00FC4B43" w:rsidRPr="00F17126">
        <w:rPr>
          <w:rFonts w:ascii="Times New Roman" w:eastAsia="Calibri" w:hAnsi="Times New Roman" w:cs="Times New Roman"/>
          <w:sz w:val="24"/>
          <w:szCs w:val="24"/>
          <w:lang w:val="en-US"/>
        </w:rPr>
        <w:t xml:space="preserve"> the United Stat</w:t>
      </w:r>
      <w:r w:rsidR="00F26889" w:rsidRPr="00F17126">
        <w:rPr>
          <w:rFonts w:ascii="Times New Roman" w:eastAsia="Calibri" w:hAnsi="Times New Roman" w:cs="Times New Roman"/>
          <w:sz w:val="24"/>
          <w:szCs w:val="24"/>
          <w:lang w:val="en-US"/>
        </w:rPr>
        <w:t>es Climate Alliance, a joint initiative</w:t>
      </w:r>
      <w:r w:rsidR="00FC4B43" w:rsidRPr="00F17126">
        <w:rPr>
          <w:rFonts w:ascii="Times New Roman" w:eastAsia="Calibri" w:hAnsi="Times New Roman" w:cs="Times New Roman"/>
          <w:sz w:val="24"/>
          <w:szCs w:val="24"/>
          <w:lang w:val="en-US"/>
        </w:rPr>
        <w:t xml:space="preserve"> </w:t>
      </w:r>
      <w:r w:rsidR="00A74A96" w:rsidRPr="00F17126">
        <w:rPr>
          <w:rFonts w:ascii="Times New Roman" w:eastAsia="Calibri" w:hAnsi="Times New Roman" w:cs="Times New Roman"/>
          <w:sz w:val="24"/>
          <w:szCs w:val="24"/>
          <w:lang w:val="en-US"/>
        </w:rPr>
        <w:t xml:space="preserve">led </w:t>
      </w:r>
      <w:r w:rsidR="00FC4B43" w:rsidRPr="00F17126">
        <w:rPr>
          <w:rFonts w:ascii="Times New Roman" w:eastAsia="Calibri" w:hAnsi="Times New Roman" w:cs="Times New Roman"/>
          <w:sz w:val="24"/>
          <w:szCs w:val="24"/>
          <w:lang w:val="en-US"/>
        </w:rPr>
        <w:t>by</w:t>
      </w:r>
      <w:r w:rsidR="00DF1CA3" w:rsidRPr="00F17126">
        <w:rPr>
          <w:rFonts w:ascii="Times New Roman" w:eastAsia="Calibri" w:hAnsi="Times New Roman" w:cs="Times New Roman"/>
          <w:sz w:val="24"/>
          <w:szCs w:val="24"/>
          <w:lang w:val="en-US"/>
        </w:rPr>
        <w:t xml:space="preserve"> </w:t>
      </w:r>
      <w:r w:rsidR="005171FB">
        <w:rPr>
          <w:rFonts w:ascii="Times New Roman" w:eastAsia="Calibri" w:hAnsi="Times New Roman" w:cs="Times New Roman"/>
          <w:sz w:val="24"/>
          <w:szCs w:val="24"/>
          <w:lang w:val="en-US"/>
        </w:rPr>
        <w:t>16 governors</w:t>
      </w:r>
      <w:r w:rsidR="00DF1CA3" w:rsidRPr="00F17126">
        <w:rPr>
          <w:rFonts w:ascii="Times New Roman" w:eastAsia="Calibri" w:hAnsi="Times New Roman" w:cs="Times New Roman"/>
          <w:sz w:val="24"/>
          <w:szCs w:val="24"/>
          <w:lang w:val="en-US"/>
        </w:rPr>
        <w:t xml:space="preserve">, </w:t>
      </w:r>
      <w:r w:rsidR="009A20C7">
        <w:rPr>
          <w:rFonts w:ascii="Times New Roman" w:eastAsia="Calibri" w:hAnsi="Times New Roman" w:cs="Times New Roman"/>
          <w:sz w:val="24"/>
          <w:szCs w:val="24"/>
          <w:lang w:val="en-US"/>
        </w:rPr>
        <w:t>whose states contribute</w:t>
      </w:r>
      <w:r w:rsidR="00A74A96" w:rsidRPr="00F17126">
        <w:rPr>
          <w:rFonts w:ascii="Times New Roman" w:eastAsia="Calibri" w:hAnsi="Times New Roman" w:cs="Times New Roman"/>
          <w:sz w:val="24"/>
          <w:szCs w:val="24"/>
          <w:lang w:val="en-US"/>
        </w:rPr>
        <w:t xml:space="preserve"> about 46</w:t>
      </w:r>
      <w:r w:rsidR="008D4F20">
        <w:rPr>
          <w:rFonts w:ascii="Times New Roman" w:eastAsia="Calibri" w:hAnsi="Times New Roman" w:cs="Times New Roman"/>
          <w:sz w:val="24"/>
          <w:szCs w:val="24"/>
          <w:lang w:val="en-US"/>
        </w:rPr>
        <w:t>%</w:t>
      </w:r>
      <w:r w:rsidR="00A74A96" w:rsidRPr="00F17126">
        <w:rPr>
          <w:rFonts w:ascii="Times New Roman" w:eastAsia="Calibri" w:hAnsi="Times New Roman" w:cs="Times New Roman"/>
          <w:sz w:val="24"/>
          <w:szCs w:val="24"/>
          <w:lang w:val="en-US"/>
        </w:rPr>
        <w:t xml:space="preserve"> of</w:t>
      </w:r>
      <w:r w:rsidR="00DF1CA3" w:rsidRPr="00F17126">
        <w:rPr>
          <w:rFonts w:ascii="Times New Roman" w:eastAsia="Calibri" w:hAnsi="Times New Roman" w:cs="Times New Roman"/>
          <w:sz w:val="24"/>
          <w:szCs w:val="24"/>
          <w:lang w:val="en-US"/>
        </w:rPr>
        <w:t xml:space="preserve"> </w:t>
      </w:r>
      <w:r w:rsidR="00FC4B43" w:rsidRPr="00F17126">
        <w:rPr>
          <w:rFonts w:ascii="Times New Roman" w:eastAsia="Calibri" w:hAnsi="Times New Roman" w:cs="Times New Roman"/>
          <w:sz w:val="24"/>
          <w:szCs w:val="24"/>
          <w:lang w:val="en-US"/>
        </w:rPr>
        <w:t>US GDP</w:t>
      </w:r>
      <w:r w:rsidR="004175D6" w:rsidRPr="00F17126">
        <w:rPr>
          <w:rFonts w:ascii="Times New Roman" w:eastAsia="Calibri" w:hAnsi="Times New Roman" w:cs="Times New Roman"/>
          <w:sz w:val="24"/>
          <w:szCs w:val="24"/>
          <w:lang w:val="en-US"/>
        </w:rPr>
        <w:t xml:space="preserve"> (</w:t>
      </w:r>
      <w:hyperlink r:id="rId9" w:history="1">
        <w:r w:rsidR="004175D6" w:rsidRPr="00F17126">
          <w:rPr>
            <w:rStyle w:val="Hyperlink"/>
            <w:rFonts w:ascii="Times New Roman" w:eastAsia="Calibri" w:hAnsi="Times New Roman" w:cs="Times New Roman"/>
            <w:sz w:val="24"/>
            <w:szCs w:val="24"/>
            <w:lang w:val="en-US"/>
          </w:rPr>
          <w:t>www.usclimatealliance.org</w:t>
        </w:r>
      </w:hyperlink>
      <w:r w:rsidR="004175D6" w:rsidRPr="00F17126">
        <w:rPr>
          <w:rFonts w:ascii="Times New Roman" w:eastAsia="Calibri" w:hAnsi="Times New Roman" w:cs="Times New Roman"/>
          <w:sz w:val="24"/>
          <w:szCs w:val="24"/>
          <w:lang w:val="en-US"/>
        </w:rPr>
        <w:t xml:space="preserve">). </w:t>
      </w:r>
      <w:r w:rsidR="00620E4B" w:rsidRPr="00F17126">
        <w:rPr>
          <w:rFonts w:ascii="Times New Roman" w:eastAsia="Calibri" w:hAnsi="Times New Roman" w:cs="Times New Roman"/>
          <w:sz w:val="24"/>
          <w:szCs w:val="24"/>
          <w:lang w:val="en-US"/>
        </w:rPr>
        <w:t>Moreover, d</w:t>
      </w:r>
      <w:r w:rsidR="00390B96" w:rsidRPr="00F17126">
        <w:rPr>
          <w:rFonts w:ascii="Times New Roman" w:eastAsia="Calibri" w:hAnsi="Times New Roman" w:cs="Times New Roman"/>
          <w:sz w:val="24"/>
          <w:szCs w:val="24"/>
          <w:lang w:val="en-US"/>
        </w:rPr>
        <w:t xml:space="preserve">espite serious doubts among conservative </w:t>
      </w:r>
      <w:r w:rsidR="00DC7AF2">
        <w:rPr>
          <w:rFonts w:ascii="Times New Roman" w:eastAsia="Calibri" w:hAnsi="Times New Roman" w:cs="Times New Roman"/>
          <w:sz w:val="24"/>
          <w:szCs w:val="24"/>
          <w:lang w:val="en-US"/>
        </w:rPr>
        <w:t>R</w:t>
      </w:r>
      <w:r w:rsidR="00390B96" w:rsidRPr="00F17126">
        <w:rPr>
          <w:rFonts w:ascii="Times New Roman" w:eastAsia="Calibri" w:hAnsi="Times New Roman" w:cs="Times New Roman"/>
          <w:sz w:val="24"/>
          <w:szCs w:val="24"/>
          <w:lang w:val="en-US"/>
        </w:rPr>
        <w:t xml:space="preserve">epublicans, most Americans want climate scientists to have a major role in </w:t>
      </w:r>
      <w:r w:rsidR="002A2C70" w:rsidRPr="00F17126">
        <w:rPr>
          <w:rFonts w:ascii="Times New Roman" w:eastAsia="Calibri" w:hAnsi="Times New Roman" w:cs="Times New Roman"/>
          <w:sz w:val="24"/>
          <w:szCs w:val="24"/>
          <w:lang w:val="en-US"/>
        </w:rPr>
        <w:t xml:space="preserve">climate </w:t>
      </w:r>
      <w:r w:rsidR="00DC7AF2">
        <w:rPr>
          <w:rFonts w:ascii="Times New Roman" w:eastAsia="Calibri" w:hAnsi="Times New Roman" w:cs="Times New Roman"/>
          <w:sz w:val="24"/>
          <w:szCs w:val="24"/>
          <w:lang w:val="en-US"/>
        </w:rPr>
        <w:t>policymaking</w:t>
      </w:r>
      <w:r w:rsidR="00390B96" w:rsidRPr="00F17126">
        <w:rPr>
          <w:rFonts w:ascii="Times New Roman" w:eastAsia="Calibri" w:hAnsi="Times New Roman" w:cs="Times New Roman"/>
          <w:sz w:val="24"/>
          <w:szCs w:val="24"/>
          <w:lang w:val="en-US"/>
        </w:rPr>
        <w:t xml:space="preserve"> (Pew Research Center, 2016). </w:t>
      </w:r>
      <w:r w:rsidR="00497D99" w:rsidRPr="00F17126">
        <w:rPr>
          <w:rFonts w:ascii="Times New Roman" w:eastAsia="Calibri" w:hAnsi="Times New Roman" w:cs="Times New Roman"/>
          <w:sz w:val="24"/>
          <w:szCs w:val="24"/>
          <w:lang w:val="en-US"/>
        </w:rPr>
        <w:t>Finally,</w:t>
      </w:r>
      <w:r w:rsidR="00A74A96" w:rsidRPr="00F17126">
        <w:rPr>
          <w:rFonts w:ascii="Times New Roman" w:eastAsia="Calibri" w:hAnsi="Times New Roman" w:cs="Times New Roman"/>
          <w:sz w:val="24"/>
          <w:szCs w:val="24"/>
          <w:lang w:val="en-US"/>
        </w:rPr>
        <w:t xml:space="preserve"> while one plausible prediction would be</w:t>
      </w:r>
      <w:r w:rsidR="00241453" w:rsidRPr="00F17126">
        <w:rPr>
          <w:rFonts w:ascii="Times New Roman" w:eastAsia="Calibri" w:hAnsi="Times New Roman" w:cs="Times New Roman"/>
          <w:sz w:val="24"/>
          <w:szCs w:val="24"/>
          <w:lang w:val="en-US"/>
        </w:rPr>
        <w:t xml:space="preserve"> </w:t>
      </w:r>
      <w:r w:rsidR="004175D6" w:rsidRPr="00F17126">
        <w:rPr>
          <w:rFonts w:ascii="Times New Roman" w:eastAsia="Calibri" w:hAnsi="Times New Roman" w:cs="Times New Roman"/>
          <w:sz w:val="24"/>
          <w:szCs w:val="24"/>
          <w:lang w:val="en-US"/>
        </w:rPr>
        <w:t>that</w:t>
      </w:r>
      <w:r w:rsidR="00241453" w:rsidRPr="00F17126">
        <w:rPr>
          <w:rFonts w:ascii="Times New Roman" w:eastAsia="Calibri" w:hAnsi="Times New Roman" w:cs="Times New Roman"/>
          <w:sz w:val="24"/>
          <w:szCs w:val="24"/>
          <w:lang w:val="en-US"/>
        </w:rPr>
        <w:t xml:space="preserve"> several</w:t>
      </w:r>
      <w:r w:rsidR="00390B96" w:rsidRPr="00F17126">
        <w:rPr>
          <w:rFonts w:ascii="Times New Roman" w:eastAsia="Calibri" w:hAnsi="Times New Roman" w:cs="Times New Roman"/>
          <w:sz w:val="24"/>
          <w:szCs w:val="24"/>
          <w:lang w:val="en-US"/>
        </w:rPr>
        <w:t xml:space="preserve"> other governments</w:t>
      </w:r>
      <w:r w:rsidR="004175D6" w:rsidRPr="00F17126">
        <w:rPr>
          <w:rFonts w:ascii="Times New Roman" w:eastAsia="Calibri" w:hAnsi="Times New Roman" w:cs="Times New Roman"/>
          <w:sz w:val="24"/>
          <w:szCs w:val="24"/>
          <w:lang w:val="en-US"/>
        </w:rPr>
        <w:t xml:space="preserve"> </w:t>
      </w:r>
      <w:r w:rsidR="00497D99" w:rsidRPr="00F17126">
        <w:rPr>
          <w:rFonts w:ascii="Times New Roman" w:eastAsia="Calibri" w:hAnsi="Times New Roman" w:cs="Times New Roman"/>
          <w:sz w:val="24"/>
          <w:szCs w:val="24"/>
          <w:lang w:val="en-US"/>
        </w:rPr>
        <w:t>might</w:t>
      </w:r>
      <w:r w:rsidR="00241453" w:rsidRPr="00F17126">
        <w:rPr>
          <w:rFonts w:ascii="Times New Roman" w:eastAsia="Calibri" w:hAnsi="Times New Roman" w:cs="Times New Roman"/>
          <w:sz w:val="24"/>
          <w:szCs w:val="24"/>
          <w:lang w:val="en-US"/>
        </w:rPr>
        <w:t xml:space="preserve"> </w:t>
      </w:r>
      <w:r w:rsidR="00A74A96" w:rsidRPr="00F17126">
        <w:rPr>
          <w:rFonts w:ascii="Times New Roman" w:eastAsia="Calibri" w:hAnsi="Times New Roman" w:cs="Times New Roman"/>
          <w:sz w:val="24"/>
          <w:szCs w:val="24"/>
          <w:lang w:val="en-US"/>
        </w:rPr>
        <w:t xml:space="preserve">see President Trump’s decision as an invitation to </w:t>
      </w:r>
      <w:r w:rsidR="001F40F5" w:rsidRPr="00F17126">
        <w:rPr>
          <w:rFonts w:ascii="Times New Roman" w:eastAsia="Calibri" w:hAnsi="Times New Roman" w:cs="Times New Roman"/>
          <w:sz w:val="24"/>
          <w:szCs w:val="24"/>
          <w:lang w:val="en-US"/>
        </w:rPr>
        <w:t xml:space="preserve">save money by </w:t>
      </w:r>
      <w:r w:rsidR="002A2C70" w:rsidRPr="00F17126">
        <w:rPr>
          <w:rFonts w:ascii="Times New Roman" w:eastAsia="Calibri" w:hAnsi="Times New Roman" w:cs="Times New Roman"/>
          <w:sz w:val="24"/>
          <w:szCs w:val="24"/>
          <w:lang w:val="en-US"/>
        </w:rPr>
        <w:t>follow</w:t>
      </w:r>
      <w:r w:rsidR="001F40F5" w:rsidRPr="00F17126">
        <w:rPr>
          <w:rFonts w:ascii="Times New Roman" w:eastAsia="Calibri" w:hAnsi="Times New Roman" w:cs="Times New Roman"/>
          <w:sz w:val="24"/>
          <w:szCs w:val="24"/>
          <w:lang w:val="en-US"/>
        </w:rPr>
        <w:t>ing</w:t>
      </w:r>
      <w:r w:rsidR="002A2C70" w:rsidRPr="00F17126">
        <w:rPr>
          <w:rFonts w:ascii="Times New Roman" w:eastAsia="Calibri" w:hAnsi="Times New Roman" w:cs="Times New Roman"/>
          <w:sz w:val="24"/>
          <w:szCs w:val="24"/>
          <w:lang w:val="en-US"/>
        </w:rPr>
        <w:t xml:space="preserve"> the U</w:t>
      </w:r>
      <w:r w:rsidR="00497D99" w:rsidRPr="00F17126">
        <w:rPr>
          <w:rFonts w:ascii="Times New Roman" w:eastAsia="Calibri" w:hAnsi="Times New Roman" w:cs="Times New Roman"/>
          <w:sz w:val="24"/>
          <w:szCs w:val="24"/>
          <w:lang w:val="en-US"/>
        </w:rPr>
        <w:t xml:space="preserve">nited </w:t>
      </w:r>
      <w:r w:rsidR="002A2C70" w:rsidRPr="00F17126">
        <w:rPr>
          <w:rFonts w:ascii="Times New Roman" w:eastAsia="Calibri" w:hAnsi="Times New Roman" w:cs="Times New Roman"/>
          <w:sz w:val="24"/>
          <w:szCs w:val="24"/>
          <w:lang w:val="en-US"/>
        </w:rPr>
        <w:t>S</w:t>
      </w:r>
      <w:r w:rsidR="00497D99" w:rsidRPr="00F17126">
        <w:rPr>
          <w:rFonts w:ascii="Times New Roman" w:eastAsia="Calibri" w:hAnsi="Times New Roman" w:cs="Times New Roman"/>
          <w:sz w:val="24"/>
          <w:szCs w:val="24"/>
          <w:lang w:val="en-US"/>
        </w:rPr>
        <w:t>tates</w:t>
      </w:r>
      <w:r w:rsidR="00241453" w:rsidRPr="00F17126">
        <w:rPr>
          <w:rFonts w:ascii="Times New Roman" w:eastAsia="Calibri" w:hAnsi="Times New Roman" w:cs="Times New Roman"/>
          <w:sz w:val="24"/>
          <w:szCs w:val="24"/>
          <w:lang w:val="en-US"/>
        </w:rPr>
        <w:t xml:space="preserve"> to the exit</w:t>
      </w:r>
      <w:r w:rsidR="004175D6" w:rsidRPr="00F17126">
        <w:rPr>
          <w:rFonts w:ascii="Times New Roman" w:eastAsia="Calibri" w:hAnsi="Times New Roman" w:cs="Times New Roman"/>
          <w:sz w:val="24"/>
          <w:szCs w:val="24"/>
          <w:lang w:val="en-US"/>
        </w:rPr>
        <w:t>,</w:t>
      </w:r>
      <w:r w:rsidR="00241453" w:rsidRPr="00F17126">
        <w:rPr>
          <w:rFonts w:ascii="Times New Roman" w:eastAsia="Calibri" w:hAnsi="Times New Roman" w:cs="Times New Roman"/>
          <w:sz w:val="24"/>
          <w:szCs w:val="24"/>
          <w:lang w:val="en-US"/>
        </w:rPr>
        <w:t xml:space="preserve"> Victor (2017) </w:t>
      </w:r>
      <w:r w:rsidR="004175D6" w:rsidRPr="00F17126">
        <w:rPr>
          <w:rFonts w:ascii="Times New Roman" w:eastAsia="Calibri" w:hAnsi="Times New Roman" w:cs="Times New Roman"/>
          <w:sz w:val="24"/>
          <w:szCs w:val="24"/>
          <w:lang w:val="en-US"/>
        </w:rPr>
        <w:t xml:space="preserve">points to the </w:t>
      </w:r>
      <w:r w:rsidR="00D73B00">
        <w:rPr>
          <w:rFonts w:ascii="Times New Roman" w:eastAsia="Calibri" w:hAnsi="Times New Roman" w:cs="Times New Roman"/>
          <w:sz w:val="24"/>
          <w:szCs w:val="24"/>
          <w:lang w:val="en-US"/>
        </w:rPr>
        <w:t>possibility</w:t>
      </w:r>
      <w:r w:rsidR="004175D6" w:rsidRPr="00F17126">
        <w:rPr>
          <w:rFonts w:ascii="Times New Roman" w:eastAsia="Calibri" w:hAnsi="Times New Roman" w:cs="Times New Roman"/>
          <w:sz w:val="24"/>
          <w:szCs w:val="24"/>
          <w:lang w:val="en-US"/>
        </w:rPr>
        <w:t xml:space="preserve"> </w:t>
      </w:r>
      <w:r w:rsidR="0019730B" w:rsidRPr="00F17126">
        <w:rPr>
          <w:rFonts w:ascii="Times New Roman" w:eastAsia="Calibri" w:hAnsi="Times New Roman" w:cs="Times New Roman"/>
          <w:sz w:val="24"/>
          <w:szCs w:val="24"/>
          <w:lang w:val="en-US"/>
        </w:rPr>
        <w:t xml:space="preserve">for other </w:t>
      </w:r>
      <w:r w:rsidR="00D73B00">
        <w:rPr>
          <w:rFonts w:ascii="Times New Roman" w:eastAsia="Calibri" w:hAnsi="Times New Roman" w:cs="Times New Roman"/>
          <w:sz w:val="24"/>
          <w:szCs w:val="24"/>
          <w:lang w:val="en-US"/>
        </w:rPr>
        <w:t>major</w:t>
      </w:r>
      <w:r w:rsidR="0019730B" w:rsidRPr="00F17126">
        <w:rPr>
          <w:rFonts w:ascii="Times New Roman" w:eastAsia="Calibri" w:hAnsi="Times New Roman" w:cs="Times New Roman"/>
          <w:sz w:val="24"/>
          <w:szCs w:val="24"/>
          <w:lang w:val="en-US"/>
        </w:rPr>
        <w:t xml:space="preserve"> powers</w:t>
      </w:r>
      <w:r w:rsidR="00D73B00">
        <w:rPr>
          <w:rFonts w:ascii="Times New Roman" w:eastAsia="Calibri" w:hAnsi="Times New Roman" w:cs="Times New Roman"/>
          <w:sz w:val="24"/>
          <w:szCs w:val="24"/>
          <w:lang w:val="en-US"/>
        </w:rPr>
        <w:t xml:space="preserve"> to lead</w:t>
      </w:r>
      <w:r w:rsidR="004175D6" w:rsidRPr="00F17126">
        <w:rPr>
          <w:rFonts w:ascii="Times New Roman" w:eastAsia="Calibri" w:hAnsi="Times New Roman" w:cs="Times New Roman"/>
          <w:sz w:val="24"/>
          <w:szCs w:val="24"/>
          <w:lang w:val="en-US"/>
        </w:rPr>
        <w:t xml:space="preserve">, </w:t>
      </w:r>
      <w:r w:rsidR="005171FB">
        <w:rPr>
          <w:rFonts w:ascii="Times New Roman" w:eastAsia="Calibri" w:hAnsi="Times New Roman" w:cs="Times New Roman"/>
          <w:sz w:val="24"/>
          <w:szCs w:val="24"/>
          <w:lang w:val="en-US"/>
        </w:rPr>
        <w:t>particularly</w:t>
      </w:r>
      <w:r w:rsidR="0046041B" w:rsidRPr="00F17126">
        <w:rPr>
          <w:rFonts w:ascii="Times New Roman" w:eastAsia="Calibri" w:hAnsi="Times New Roman" w:cs="Times New Roman"/>
          <w:sz w:val="24"/>
          <w:szCs w:val="24"/>
          <w:lang w:val="en-US"/>
        </w:rPr>
        <w:t xml:space="preserve"> China, </w:t>
      </w:r>
      <w:r w:rsidR="005171FB">
        <w:rPr>
          <w:rFonts w:ascii="Times New Roman" w:eastAsia="Calibri" w:hAnsi="Times New Roman" w:cs="Times New Roman"/>
          <w:sz w:val="24"/>
          <w:szCs w:val="24"/>
          <w:lang w:val="en-US"/>
        </w:rPr>
        <w:t>as having greater long-run importance</w:t>
      </w:r>
      <w:r w:rsidR="0046041B" w:rsidRPr="00F17126">
        <w:rPr>
          <w:rFonts w:ascii="Times New Roman" w:eastAsia="Calibri" w:hAnsi="Times New Roman" w:cs="Times New Roman"/>
          <w:sz w:val="24"/>
          <w:szCs w:val="24"/>
          <w:lang w:val="en-US"/>
        </w:rPr>
        <w:t>.</w:t>
      </w:r>
      <w:r w:rsidR="00A74A96" w:rsidRPr="00F17126">
        <w:rPr>
          <w:rFonts w:ascii="Times New Roman" w:eastAsia="Calibri" w:hAnsi="Times New Roman" w:cs="Times New Roman"/>
          <w:sz w:val="24"/>
          <w:szCs w:val="24"/>
          <w:lang w:val="en-US"/>
        </w:rPr>
        <w:t xml:space="preserve"> Victor’s </w:t>
      </w:r>
      <w:r w:rsidR="003C3AA5" w:rsidRPr="00F17126">
        <w:rPr>
          <w:rFonts w:ascii="Times New Roman" w:eastAsia="Calibri" w:hAnsi="Times New Roman" w:cs="Times New Roman"/>
          <w:sz w:val="24"/>
          <w:szCs w:val="24"/>
          <w:lang w:val="en-US"/>
        </w:rPr>
        <w:t>succinct</w:t>
      </w:r>
      <w:r w:rsidR="002A2C70" w:rsidRPr="00F17126">
        <w:rPr>
          <w:rFonts w:ascii="Times New Roman" w:eastAsia="Calibri" w:hAnsi="Times New Roman" w:cs="Times New Roman"/>
          <w:sz w:val="24"/>
          <w:szCs w:val="24"/>
          <w:lang w:val="en-US"/>
        </w:rPr>
        <w:t xml:space="preserve"> </w:t>
      </w:r>
      <w:r w:rsidR="000535CE" w:rsidRPr="00F17126">
        <w:rPr>
          <w:rFonts w:ascii="Times New Roman" w:eastAsia="Calibri" w:hAnsi="Times New Roman" w:cs="Times New Roman"/>
          <w:sz w:val="24"/>
          <w:szCs w:val="24"/>
          <w:lang w:val="en-US"/>
        </w:rPr>
        <w:t>summary of the current US</w:t>
      </w:r>
      <w:r w:rsidR="008F7F61">
        <w:rPr>
          <w:rFonts w:ascii="Times New Roman" w:eastAsia="Calibri" w:hAnsi="Times New Roman" w:cs="Times New Roman"/>
          <w:sz w:val="24"/>
          <w:szCs w:val="24"/>
          <w:lang w:val="en-US"/>
        </w:rPr>
        <w:t>–</w:t>
      </w:r>
      <w:r w:rsidR="000535CE" w:rsidRPr="00F17126">
        <w:rPr>
          <w:rFonts w:ascii="Times New Roman" w:eastAsia="Calibri" w:hAnsi="Times New Roman" w:cs="Times New Roman"/>
          <w:sz w:val="24"/>
          <w:szCs w:val="24"/>
          <w:lang w:val="en-US"/>
        </w:rPr>
        <w:t>China</w:t>
      </w:r>
      <w:r w:rsidR="00A74A96" w:rsidRPr="00F17126">
        <w:rPr>
          <w:rFonts w:ascii="Times New Roman" w:eastAsia="Calibri" w:hAnsi="Times New Roman" w:cs="Times New Roman"/>
          <w:sz w:val="24"/>
          <w:szCs w:val="24"/>
          <w:lang w:val="en-US"/>
        </w:rPr>
        <w:t xml:space="preserve"> relationship says that where</w:t>
      </w:r>
      <w:r w:rsidR="00DC7AF2">
        <w:rPr>
          <w:rFonts w:ascii="Times New Roman" w:eastAsia="Calibri" w:hAnsi="Times New Roman" w:cs="Times New Roman"/>
          <w:sz w:val="24"/>
          <w:szCs w:val="24"/>
          <w:lang w:val="en-US"/>
        </w:rPr>
        <w:t>as</w:t>
      </w:r>
      <w:r w:rsidR="00A74A96" w:rsidRPr="00F17126">
        <w:rPr>
          <w:rFonts w:ascii="Times New Roman" w:eastAsia="Calibri" w:hAnsi="Times New Roman" w:cs="Times New Roman"/>
          <w:sz w:val="24"/>
          <w:szCs w:val="24"/>
          <w:lang w:val="en-US"/>
        </w:rPr>
        <w:t xml:space="preserve"> America is leaving</w:t>
      </w:r>
      <w:r w:rsidR="00497D99" w:rsidRPr="00F17126">
        <w:rPr>
          <w:rFonts w:ascii="Times New Roman" w:eastAsia="Calibri" w:hAnsi="Times New Roman" w:cs="Times New Roman"/>
          <w:sz w:val="24"/>
          <w:szCs w:val="24"/>
          <w:lang w:val="en-US"/>
        </w:rPr>
        <w:t>,</w:t>
      </w:r>
      <w:r w:rsidR="00A74A96" w:rsidRPr="00F17126">
        <w:rPr>
          <w:rFonts w:ascii="Times New Roman" w:eastAsia="Calibri" w:hAnsi="Times New Roman" w:cs="Times New Roman"/>
          <w:sz w:val="24"/>
          <w:szCs w:val="24"/>
          <w:lang w:val="en-US"/>
        </w:rPr>
        <w:t xml:space="preserve"> China is saying it will </w:t>
      </w:r>
      <w:r w:rsidR="00DC7AF2">
        <w:rPr>
          <w:rFonts w:ascii="Times New Roman" w:eastAsia="Calibri" w:hAnsi="Times New Roman" w:cs="Times New Roman"/>
          <w:sz w:val="24"/>
          <w:szCs w:val="24"/>
          <w:lang w:val="en-US"/>
        </w:rPr>
        <w:t>remain</w:t>
      </w:r>
      <w:r w:rsidR="00A74A96" w:rsidRPr="00F17126">
        <w:rPr>
          <w:rFonts w:ascii="Times New Roman" w:eastAsia="Calibri" w:hAnsi="Times New Roman" w:cs="Times New Roman"/>
          <w:sz w:val="24"/>
          <w:szCs w:val="24"/>
          <w:lang w:val="en-US"/>
        </w:rPr>
        <w:t xml:space="preserve">. </w:t>
      </w:r>
      <w:r w:rsidR="004175D6" w:rsidRPr="00F17126">
        <w:rPr>
          <w:rFonts w:ascii="Times New Roman" w:eastAsia="Calibri" w:hAnsi="Times New Roman" w:cs="Times New Roman"/>
          <w:sz w:val="24"/>
          <w:szCs w:val="24"/>
          <w:lang w:val="en-US"/>
        </w:rPr>
        <w:t xml:space="preserve">  </w:t>
      </w:r>
    </w:p>
    <w:p w14:paraId="2D94A252" w14:textId="77777777"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     </w:t>
      </w:r>
    </w:p>
    <w:p w14:paraId="3A23F35D" w14:textId="05991168" w:rsidR="002A2C70" w:rsidRPr="00F17126" w:rsidRDefault="004F0B10" w:rsidP="00323B2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i/>
          <w:sz w:val="24"/>
          <w:szCs w:val="24"/>
          <w:lang w:val="en-US"/>
        </w:rPr>
        <w:t xml:space="preserve">4.2 </w:t>
      </w:r>
      <w:r w:rsidR="000115C7" w:rsidRPr="00F17126">
        <w:rPr>
          <w:rFonts w:ascii="Times New Roman" w:eastAsia="Calibri" w:hAnsi="Times New Roman" w:cs="Times New Roman"/>
          <w:i/>
          <w:sz w:val="24"/>
          <w:szCs w:val="24"/>
          <w:lang w:val="en-US"/>
        </w:rPr>
        <w:t xml:space="preserve">Participation: universal and </w:t>
      </w:r>
      <w:r w:rsidR="002A2C70" w:rsidRPr="00F17126">
        <w:rPr>
          <w:rFonts w:ascii="Times New Roman" w:eastAsia="Calibri" w:hAnsi="Times New Roman" w:cs="Times New Roman"/>
          <w:i/>
          <w:sz w:val="24"/>
          <w:szCs w:val="24"/>
          <w:lang w:val="en-US"/>
        </w:rPr>
        <w:t>differentiated</w:t>
      </w:r>
    </w:p>
    <w:p w14:paraId="103C0CE2" w14:textId="2D73BB77" w:rsidR="00714BE4" w:rsidRPr="00F17126" w:rsidRDefault="002C70A4" w:rsidP="00323B2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Since </w:t>
      </w:r>
      <w:r w:rsidR="00DC7AF2">
        <w:rPr>
          <w:rFonts w:ascii="Times New Roman" w:eastAsia="Calibri" w:hAnsi="Times New Roman" w:cs="Times New Roman"/>
          <w:sz w:val="24"/>
          <w:szCs w:val="24"/>
          <w:lang w:val="en-US"/>
        </w:rPr>
        <w:t>their</w:t>
      </w:r>
      <w:r w:rsidR="00DC7AF2"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beginning, UNFCCC negotiations have struggled with stark asymmetries between “guilt” in causing GHG emissions and capacity to alleviate </w:t>
      </w:r>
      <w:r w:rsidR="00DC7AF2">
        <w:rPr>
          <w:rFonts w:ascii="Times New Roman" w:eastAsia="Calibri" w:hAnsi="Times New Roman" w:cs="Times New Roman"/>
          <w:sz w:val="24"/>
          <w:szCs w:val="24"/>
          <w:lang w:val="en-US"/>
        </w:rPr>
        <w:t>them</w:t>
      </w:r>
      <w:r w:rsidR="00DC7AF2"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on one hand and vulnerability to consequences those emissions </w:t>
      </w:r>
      <w:r w:rsidR="00DC7AF2">
        <w:rPr>
          <w:rFonts w:ascii="Times New Roman" w:eastAsia="Calibri" w:hAnsi="Times New Roman" w:cs="Times New Roman"/>
          <w:sz w:val="24"/>
          <w:szCs w:val="24"/>
          <w:lang w:val="en-US"/>
        </w:rPr>
        <w:t>could</w:t>
      </w:r>
      <w:r w:rsidR="00DC7AF2"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generate on the other. </w:t>
      </w:r>
      <w:r w:rsidR="00497D99" w:rsidRPr="00F17126">
        <w:rPr>
          <w:rFonts w:ascii="Times New Roman" w:eastAsia="Calibri" w:hAnsi="Times New Roman" w:cs="Times New Roman"/>
          <w:sz w:val="24"/>
          <w:szCs w:val="24"/>
          <w:lang w:val="en-US"/>
        </w:rPr>
        <w:t>Together, t</w:t>
      </w:r>
      <w:r w:rsidRPr="00F17126">
        <w:rPr>
          <w:rFonts w:ascii="Times New Roman" w:eastAsia="Calibri" w:hAnsi="Times New Roman" w:cs="Times New Roman"/>
          <w:sz w:val="24"/>
          <w:szCs w:val="24"/>
          <w:lang w:val="en-US"/>
        </w:rPr>
        <w:t>he largest GHG emitters – China, the United States</w:t>
      </w:r>
      <w:r w:rsidR="00DC7AF2">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and the European Union –</w:t>
      </w:r>
      <w:r w:rsidR="00DC7AF2">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account for more than half of aggregate world emissions</w:t>
      </w:r>
      <w:r w:rsidR="00497D99"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while the </w:t>
      </w:r>
      <w:r w:rsidR="007F6A16" w:rsidRPr="00F17126">
        <w:rPr>
          <w:rFonts w:ascii="Times New Roman" w:eastAsia="Calibri" w:hAnsi="Times New Roman" w:cs="Times New Roman"/>
          <w:sz w:val="24"/>
          <w:szCs w:val="24"/>
          <w:lang w:val="en-US"/>
        </w:rPr>
        <w:t>100</w:t>
      </w:r>
      <w:r w:rsidRPr="00F17126">
        <w:rPr>
          <w:rFonts w:ascii="Times New Roman" w:eastAsia="Calibri" w:hAnsi="Times New Roman" w:cs="Times New Roman"/>
          <w:sz w:val="24"/>
          <w:szCs w:val="24"/>
          <w:lang w:val="en-US"/>
        </w:rPr>
        <w:t xml:space="preserve"> states </w:t>
      </w:r>
      <w:r w:rsidR="00777C40">
        <w:rPr>
          <w:rFonts w:ascii="Times New Roman" w:eastAsia="Calibri" w:hAnsi="Times New Roman" w:cs="Times New Roman"/>
          <w:sz w:val="24"/>
          <w:szCs w:val="24"/>
          <w:lang w:val="en-US"/>
        </w:rPr>
        <w:t>emitting least</w:t>
      </w:r>
      <w:r w:rsidRPr="00F17126">
        <w:rPr>
          <w:rFonts w:ascii="Times New Roman" w:eastAsia="Calibri" w:hAnsi="Times New Roman" w:cs="Times New Roman"/>
          <w:sz w:val="24"/>
          <w:szCs w:val="24"/>
          <w:lang w:val="en-US"/>
        </w:rPr>
        <w:t xml:space="preserve"> account for no </w:t>
      </w:r>
      <w:r w:rsidRPr="00F17126">
        <w:rPr>
          <w:rFonts w:ascii="Times New Roman" w:eastAsia="Calibri" w:hAnsi="Times New Roman" w:cs="Times New Roman"/>
          <w:sz w:val="24"/>
          <w:szCs w:val="24"/>
          <w:lang w:val="en-US"/>
        </w:rPr>
        <w:lastRenderedPageBreak/>
        <w:t>more than 3</w:t>
      </w:r>
      <w:r w:rsidR="007F6A16"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4</w:t>
      </w:r>
      <w:r w:rsidR="008D4F20">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(WRI, 2017). </w:t>
      </w:r>
      <w:r w:rsidR="002A2C70" w:rsidRPr="00F17126">
        <w:rPr>
          <w:rFonts w:ascii="Times New Roman" w:eastAsia="Calibri" w:hAnsi="Times New Roman" w:cs="Times New Roman"/>
          <w:sz w:val="24"/>
          <w:szCs w:val="24"/>
          <w:lang w:val="en-US"/>
        </w:rPr>
        <w:t xml:space="preserve">By </w:t>
      </w:r>
      <w:r w:rsidR="00777C40">
        <w:rPr>
          <w:rFonts w:ascii="Times New Roman" w:eastAsia="Calibri" w:hAnsi="Times New Roman" w:cs="Times New Roman"/>
          <w:sz w:val="24"/>
          <w:szCs w:val="24"/>
          <w:lang w:val="en-US"/>
        </w:rPr>
        <w:t>us</w:t>
      </w:r>
      <w:r w:rsidR="002A2C70" w:rsidRPr="00F17126">
        <w:rPr>
          <w:rFonts w:ascii="Times New Roman" w:eastAsia="Calibri" w:hAnsi="Times New Roman" w:cs="Times New Roman"/>
          <w:sz w:val="24"/>
          <w:szCs w:val="24"/>
          <w:lang w:val="en-US"/>
        </w:rPr>
        <w:t xml:space="preserve">ing </w:t>
      </w:r>
      <w:r w:rsidR="007F6A16" w:rsidRPr="00F17126">
        <w:rPr>
          <w:rFonts w:ascii="Times New Roman" w:eastAsia="Calibri" w:hAnsi="Times New Roman" w:cs="Times New Roman"/>
          <w:sz w:val="24"/>
          <w:szCs w:val="24"/>
          <w:lang w:val="en-US"/>
        </w:rPr>
        <w:t>NDC</w:t>
      </w:r>
      <w:r w:rsidR="002A2C70" w:rsidRPr="00F17126">
        <w:rPr>
          <w:rFonts w:ascii="Times New Roman" w:eastAsia="Calibri" w:hAnsi="Times New Roman" w:cs="Times New Roman"/>
          <w:sz w:val="24"/>
          <w:szCs w:val="24"/>
          <w:lang w:val="en-US"/>
        </w:rPr>
        <w:t>s as the main basis for commitments</w:t>
      </w:r>
      <w:r w:rsidR="001F40F5" w:rsidRPr="00F17126">
        <w:rPr>
          <w:rFonts w:ascii="Times New Roman" w:eastAsia="Calibri" w:hAnsi="Times New Roman" w:cs="Times New Roman"/>
          <w:sz w:val="24"/>
          <w:szCs w:val="24"/>
          <w:lang w:val="en-US"/>
        </w:rPr>
        <w:t>,</w:t>
      </w:r>
      <w:r w:rsidR="001B7B3A" w:rsidRPr="00F17126">
        <w:rPr>
          <w:rFonts w:ascii="Times New Roman" w:eastAsia="Calibri" w:hAnsi="Times New Roman" w:cs="Times New Roman"/>
          <w:sz w:val="24"/>
          <w:szCs w:val="24"/>
          <w:lang w:val="en-US"/>
        </w:rPr>
        <w:t xml:space="preserve"> the PA </w:t>
      </w:r>
      <w:r w:rsidRPr="00F17126">
        <w:rPr>
          <w:rFonts w:ascii="Times New Roman" w:eastAsia="Calibri" w:hAnsi="Times New Roman" w:cs="Times New Roman"/>
          <w:sz w:val="24"/>
          <w:szCs w:val="24"/>
          <w:lang w:val="en-US"/>
        </w:rPr>
        <w:t xml:space="preserve">acknowledges that inviting poor countries </w:t>
      </w:r>
      <w:r w:rsidR="007C7E85" w:rsidRPr="00F17126">
        <w:rPr>
          <w:rFonts w:ascii="Times New Roman" w:eastAsia="Calibri" w:hAnsi="Times New Roman" w:cs="Times New Roman"/>
          <w:sz w:val="24"/>
          <w:szCs w:val="24"/>
          <w:lang w:val="en-US"/>
        </w:rPr>
        <w:t>also</w:t>
      </w:r>
      <w:r w:rsidR="007C7E85"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to </w:t>
      </w:r>
      <w:r w:rsidR="0056007D" w:rsidRPr="00F17126">
        <w:rPr>
          <w:rFonts w:ascii="Times New Roman" w:eastAsia="Calibri" w:hAnsi="Times New Roman" w:cs="Times New Roman"/>
          <w:sz w:val="24"/>
          <w:szCs w:val="24"/>
          <w:lang w:val="en-US"/>
        </w:rPr>
        <w:t xml:space="preserve">develop and </w:t>
      </w:r>
      <w:r w:rsidRPr="00F17126">
        <w:rPr>
          <w:rFonts w:ascii="Times New Roman" w:eastAsia="Calibri" w:hAnsi="Times New Roman" w:cs="Times New Roman"/>
          <w:sz w:val="24"/>
          <w:szCs w:val="24"/>
          <w:lang w:val="en-US"/>
        </w:rPr>
        <w:t>submit their o</w:t>
      </w:r>
      <w:r w:rsidR="001F40F5" w:rsidRPr="00F17126">
        <w:rPr>
          <w:rFonts w:ascii="Times New Roman" w:eastAsia="Calibri" w:hAnsi="Times New Roman" w:cs="Times New Roman"/>
          <w:sz w:val="24"/>
          <w:szCs w:val="24"/>
          <w:lang w:val="en-US"/>
        </w:rPr>
        <w:t xml:space="preserve">wn plans </w:t>
      </w:r>
      <w:r w:rsidR="00DC7AF2">
        <w:rPr>
          <w:rFonts w:ascii="Times New Roman" w:eastAsia="Calibri" w:hAnsi="Times New Roman" w:cs="Times New Roman"/>
          <w:sz w:val="24"/>
          <w:szCs w:val="24"/>
          <w:lang w:val="en-US"/>
        </w:rPr>
        <w:t>might</w:t>
      </w:r>
      <w:r w:rsidR="00DC7AF2" w:rsidRPr="00F17126">
        <w:rPr>
          <w:rFonts w:ascii="Times New Roman" w:eastAsia="Calibri" w:hAnsi="Times New Roman" w:cs="Times New Roman"/>
          <w:sz w:val="24"/>
          <w:szCs w:val="24"/>
          <w:lang w:val="en-US"/>
        </w:rPr>
        <w:t xml:space="preserve"> </w:t>
      </w:r>
      <w:r w:rsidR="001F40F5" w:rsidRPr="00F17126">
        <w:rPr>
          <w:rFonts w:ascii="Times New Roman" w:eastAsia="Calibri" w:hAnsi="Times New Roman" w:cs="Times New Roman"/>
          <w:sz w:val="24"/>
          <w:szCs w:val="24"/>
          <w:lang w:val="en-US"/>
        </w:rPr>
        <w:t>help them identify projects</w:t>
      </w:r>
      <w:r w:rsidR="007F6A16" w:rsidRPr="00F17126">
        <w:rPr>
          <w:rFonts w:ascii="Times New Roman" w:eastAsia="Calibri" w:hAnsi="Times New Roman" w:cs="Times New Roman"/>
          <w:sz w:val="24"/>
          <w:szCs w:val="24"/>
          <w:lang w:val="en-US"/>
        </w:rPr>
        <w:t>,</w:t>
      </w:r>
      <w:r w:rsidR="001F40F5" w:rsidRPr="00F17126">
        <w:rPr>
          <w:rFonts w:ascii="Times New Roman" w:eastAsia="Calibri" w:hAnsi="Times New Roman" w:cs="Times New Roman"/>
          <w:sz w:val="24"/>
          <w:szCs w:val="24"/>
          <w:lang w:val="en-US"/>
        </w:rPr>
        <w:t xml:space="preserve"> </w:t>
      </w:r>
      <w:r w:rsidR="007F6A16" w:rsidRPr="00F17126">
        <w:rPr>
          <w:rFonts w:ascii="Times New Roman" w:eastAsia="Calibri" w:hAnsi="Times New Roman" w:cs="Times New Roman"/>
          <w:sz w:val="24"/>
          <w:szCs w:val="24"/>
          <w:lang w:val="en-US"/>
        </w:rPr>
        <w:t>for example</w:t>
      </w:r>
      <w:r w:rsidR="001F40F5" w:rsidRPr="00F17126">
        <w:rPr>
          <w:rFonts w:ascii="Times New Roman" w:eastAsia="Calibri" w:hAnsi="Times New Roman" w:cs="Times New Roman"/>
          <w:sz w:val="24"/>
          <w:szCs w:val="24"/>
          <w:lang w:val="en-US"/>
        </w:rPr>
        <w:t xml:space="preserve"> in energy supply, that make good sense at local or national level</w:t>
      </w:r>
      <w:r w:rsidR="00DC7AF2">
        <w:rPr>
          <w:rFonts w:ascii="Times New Roman" w:eastAsia="Calibri" w:hAnsi="Times New Roman" w:cs="Times New Roman"/>
          <w:sz w:val="24"/>
          <w:szCs w:val="24"/>
          <w:lang w:val="en-US"/>
        </w:rPr>
        <w:t>s</w:t>
      </w:r>
      <w:r w:rsidR="001F40F5" w:rsidRPr="00F17126">
        <w:rPr>
          <w:rFonts w:ascii="Times New Roman" w:eastAsia="Calibri" w:hAnsi="Times New Roman" w:cs="Times New Roman"/>
          <w:sz w:val="24"/>
          <w:szCs w:val="24"/>
          <w:lang w:val="en-US"/>
        </w:rPr>
        <w:t>.</w:t>
      </w:r>
      <w:r w:rsidR="0056007D" w:rsidRPr="00F17126">
        <w:rPr>
          <w:rFonts w:ascii="Times New Roman" w:eastAsia="Calibri" w:hAnsi="Times New Roman" w:cs="Times New Roman"/>
          <w:sz w:val="24"/>
          <w:szCs w:val="24"/>
          <w:lang w:val="en-US"/>
        </w:rPr>
        <w:t xml:space="preserve"> </w:t>
      </w:r>
    </w:p>
    <w:p w14:paraId="6AC6E243" w14:textId="58B3374C" w:rsidR="00C45C13" w:rsidRPr="00F17126" w:rsidRDefault="008D06EC" w:rsidP="00323B2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This </w:t>
      </w:r>
      <w:r w:rsidR="00D530EE" w:rsidRPr="00F17126">
        <w:rPr>
          <w:rFonts w:ascii="Times New Roman" w:eastAsia="Calibri" w:hAnsi="Times New Roman" w:cs="Times New Roman"/>
          <w:sz w:val="24"/>
          <w:szCs w:val="24"/>
          <w:lang w:val="en-US"/>
        </w:rPr>
        <w:t xml:space="preserve">procedural change </w:t>
      </w:r>
      <w:r w:rsidRPr="00F17126">
        <w:rPr>
          <w:rFonts w:ascii="Times New Roman" w:eastAsia="Calibri" w:hAnsi="Times New Roman" w:cs="Times New Roman"/>
          <w:sz w:val="24"/>
          <w:szCs w:val="24"/>
          <w:lang w:val="en-US"/>
        </w:rPr>
        <w:t>does not imply that external funding will no longer be needed to improve living conditions</w:t>
      </w:r>
      <w:r w:rsidR="00D530EE" w:rsidRPr="00F17126">
        <w:rPr>
          <w:rFonts w:ascii="Times New Roman" w:eastAsia="Calibri" w:hAnsi="Times New Roman" w:cs="Times New Roman"/>
          <w:sz w:val="24"/>
          <w:szCs w:val="24"/>
          <w:lang w:val="en-US"/>
        </w:rPr>
        <w:t xml:space="preserve"> in the South</w:t>
      </w:r>
      <w:r w:rsidRPr="00F17126">
        <w:rPr>
          <w:rFonts w:ascii="Times New Roman" w:eastAsia="Calibri" w:hAnsi="Times New Roman" w:cs="Times New Roman"/>
          <w:sz w:val="24"/>
          <w:szCs w:val="24"/>
          <w:lang w:val="en-US"/>
        </w:rPr>
        <w:t>.</w:t>
      </w:r>
      <w:r w:rsidR="00D530EE" w:rsidRPr="00F17126">
        <w:rPr>
          <w:rFonts w:ascii="Times New Roman" w:eastAsia="Calibri" w:hAnsi="Times New Roman" w:cs="Times New Roman"/>
          <w:sz w:val="24"/>
          <w:szCs w:val="24"/>
          <w:lang w:val="en-US"/>
        </w:rPr>
        <w:t xml:space="preserve"> </w:t>
      </w:r>
      <w:r w:rsidR="00C45C13" w:rsidRPr="00F17126">
        <w:rPr>
          <w:rFonts w:ascii="Times New Roman" w:eastAsia="Calibri" w:hAnsi="Times New Roman" w:cs="Times New Roman"/>
          <w:sz w:val="24"/>
          <w:szCs w:val="24"/>
          <w:lang w:val="en-US"/>
        </w:rPr>
        <w:t>Nor does it suggest</w:t>
      </w:r>
      <w:r w:rsidR="0056007D" w:rsidRPr="00F17126">
        <w:rPr>
          <w:rFonts w:ascii="Times New Roman" w:eastAsia="Calibri" w:hAnsi="Times New Roman" w:cs="Times New Roman"/>
          <w:sz w:val="24"/>
          <w:szCs w:val="24"/>
          <w:lang w:val="en-US"/>
        </w:rPr>
        <w:t xml:space="preserve"> that </w:t>
      </w:r>
      <w:r w:rsidR="00C45C13" w:rsidRPr="00F17126">
        <w:rPr>
          <w:rFonts w:ascii="Times New Roman" w:eastAsia="Calibri" w:hAnsi="Times New Roman" w:cs="Times New Roman"/>
          <w:sz w:val="24"/>
          <w:szCs w:val="24"/>
          <w:lang w:val="en-US"/>
        </w:rPr>
        <w:t>the pattern observed by Rokkan (1966</w:t>
      </w:r>
      <w:r w:rsidR="00610246">
        <w:rPr>
          <w:rFonts w:ascii="Times New Roman" w:eastAsia="Calibri" w:hAnsi="Times New Roman" w:cs="Times New Roman"/>
          <w:sz w:val="24"/>
          <w:szCs w:val="24"/>
          <w:lang w:val="en-US"/>
        </w:rPr>
        <w:t>, p.</w:t>
      </w:r>
      <w:r w:rsidR="00C45C13" w:rsidRPr="00F17126">
        <w:rPr>
          <w:rFonts w:ascii="Times New Roman" w:eastAsia="Calibri" w:hAnsi="Times New Roman" w:cs="Times New Roman"/>
          <w:sz w:val="24"/>
          <w:szCs w:val="24"/>
          <w:lang w:val="en-US"/>
        </w:rPr>
        <w:t xml:space="preserve"> 105) in domestic politics – “votes count but resources decide” – </w:t>
      </w:r>
      <w:r w:rsidR="007F6A16" w:rsidRPr="00F17126">
        <w:rPr>
          <w:rFonts w:ascii="Times New Roman" w:eastAsia="Calibri" w:hAnsi="Times New Roman" w:cs="Times New Roman"/>
          <w:sz w:val="24"/>
          <w:szCs w:val="24"/>
          <w:lang w:val="en-US"/>
        </w:rPr>
        <w:t>is</w:t>
      </w:r>
      <w:r w:rsidR="00C45C13" w:rsidRPr="00F17126">
        <w:rPr>
          <w:rFonts w:ascii="Times New Roman" w:eastAsia="Calibri" w:hAnsi="Times New Roman" w:cs="Times New Roman"/>
          <w:sz w:val="24"/>
          <w:szCs w:val="24"/>
          <w:lang w:val="en-US"/>
        </w:rPr>
        <w:t xml:space="preserve"> no longer valid at the international level. </w:t>
      </w:r>
      <w:r w:rsidR="00194963" w:rsidRPr="00F17126">
        <w:rPr>
          <w:rFonts w:ascii="Times New Roman" w:eastAsia="Calibri" w:hAnsi="Times New Roman" w:cs="Times New Roman"/>
          <w:sz w:val="24"/>
          <w:szCs w:val="24"/>
          <w:lang w:val="en-US"/>
        </w:rPr>
        <w:t>Rather, the wide scope</w:t>
      </w:r>
      <w:r w:rsidR="00714BE4" w:rsidRPr="00F17126">
        <w:rPr>
          <w:rFonts w:ascii="Times New Roman" w:eastAsia="Calibri" w:hAnsi="Times New Roman" w:cs="Times New Roman"/>
          <w:sz w:val="24"/>
          <w:szCs w:val="24"/>
          <w:lang w:val="en-US"/>
        </w:rPr>
        <w:t xml:space="preserve"> for domestically promoted</w:t>
      </w:r>
      <w:r w:rsidR="00194963" w:rsidRPr="00F17126">
        <w:rPr>
          <w:rFonts w:ascii="Times New Roman" w:eastAsia="Calibri" w:hAnsi="Times New Roman" w:cs="Times New Roman"/>
          <w:sz w:val="24"/>
          <w:szCs w:val="24"/>
          <w:lang w:val="en-US"/>
        </w:rPr>
        <w:t xml:space="preserve"> projects</w:t>
      </w:r>
      <w:r w:rsidR="00C45C13" w:rsidRPr="00F17126">
        <w:rPr>
          <w:rFonts w:ascii="Times New Roman" w:eastAsia="Calibri" w:hAnsi="Times New Roman" w:cs="Times New Roman"/>
          <w:sz w:val="24"/>
          <w:szCs w:val="24"/>
          <w:lang w:val="en-US"/>
        </w:rPr>
        <w:t xml:space="preserve"> suggests that </w:t>
      </w:r>
      <w:r w:rsidR="00194963" w:rsidRPr="00F17126">
        <w:rPr>
          <w:rFonts w:ascii="Times New Roman" w:eastAsia="Calibri" w:hAnsi="Times New Roman" w:cs="Times New Roman"/>
          <w:sz w:val="24"/>
          <w:szCs w:val="24"/>
          <w:lang w:val="en-US"/>
        </w:rPr>
        <w:t xml:space="preserve">regular </w:t>
      </w:r>
      <w:r w:rsidR="00C45C13" w:rsidRPr="00F17126">
        <w:rPr>
          <w:rFonts w:ascii="Times New Roman" w:eastAsia="Calibri" w:hAnsi="Times New Roman" w:cs="Times New Roman"/>
          <w:sz w:val="24"/>
          <w:szCs w:val="24"/>
          <w:lang w:val="en-US"/>
        </w:rPr>
        <w:t>follow-up meetings will</w:t>
      </w:r>
      <w:r w:rsidR="00714BE4" w:rsidRPr="00F17126">
        <w:rPr>
          <w:rFonts w:ascii="Times New Roman" w:eastAsia="Calibri" w:hAnsi="Times New Roman" w:cs="Times New Roman"/>
          <w:sz w:val="24"/>
          <w:szCs w:val="24"/>
          <w:lang w:val="en-US"/>
        </w:rPr>
        <w:t xml:space="preserve"> be critical in</w:t>
      </w:r>
      <w:r w:rsidR="00C45C13" w:rsidRPr="00F17126">
        <w:rPr>
          <w:rFonts w:ascii="Times New Roman" w:eastAsia="Calibri" w:hAnsi="Times New Roman" w:cs="Times New Roman"/>
          <w:sz w:val="24"/>
          <w:szCs w:val="24"/>
          <w:lang w:val="en-US"/>
        </w:rPr>
        <w:t xml:space="preserve"> developing pragmatic </w:t>
      </w:r>
      <w:r w:rsidR="00194963" w:rsidRPr="00F17126">
        <w:rPr>
          <w:rFonts w:ascii="Times New Roman" w:eastAsia="Calibri" w:hAnsi="Times New Roman" w:cs="Times New Roman"/>
          <w:sz w:val="24"/>
          <w:szCs w:val="24"/>
          <w:lang w:val="en-US"/>
        </w:rPr>
        <w:t xml:space="preserve">and mutually beneficial </w:t>
      </w:r>
      <w:r w:rsidR="00C45C13" w:rsidRPr="00F17126">
        <w:rPr>
          <w:rFonts w:ascii="Times New Roman" w:eastAsia="Calibri" w:hAnsi="Times New Roman" w:cs="Times New Roman"/>
          <w:sz w:val="24"/>
          <w:szCs w:val="24"/>
          <w:lang w:val="en-US"/>
        </w:rPr>
        <w:t>modes of coo</w:t>
      </w:r>
      <w:r w:rsidR="00194963" w:rsidRPr="00F17126">
        <w:rPr>
          <w:rFonts w:ascii="Times New Roman" w:eastAsia="Calibri" w:hAnsi="Times New Roman" w:cs="Times New Roman"/>
          <w:sz w:val="24"/>
          <w:szCs w:val="24"/>
          <w:lang w:val="en-US"/>
        </w:rPr>
        <w:t>peration across the North</w:t>
      </w:r>
      <w:r w:rsidR="007F6A16" w:rsidRPr="00F17126">
        <w:rPr>
          <w:rFonts w:ascii="Times New Roman" w:eastAsia="Calibri" w:hAnsi="Times New Roman" w:cs="Times New Roman"/>
          <w:sz w:val="24"/>
          <w:szCs w:val="24"/>
          <w:lang w:val="en-US"/>
        </w:rPr>
        <w:t>‒</w:t>
      </w:r>
      <w:r w:rsidR="00194963" w:rsidRPr="00F17126">
        <w:rPr>
          <w:rFonts w:ascii="Times New Roman" w:eastAsia="Calibri" w:hAnsi="Times New Roman" w:cs="Times New Roman"/>
          <w:sz w:val="24"/>
          <w:szCs w:val="24"/>
          <w:lang w:val="en-US"/>
        </w:rPr>
        <w:t xml:space="preserve">South divide.  </w:t>
      </w:r>
    </w:p>
    <w:p w14:paraId="6AE30BF7" w14:textId="4E6CD68A" w:rsidR="00714BE4" w:rsidRPr="00F17126" w:rsidRDefault="0065653B"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Even if progress is made in developing North</w:t>
      </w:r>
      <w:r w:rsidR="00DC7AF2">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South cooperation, vulnerable groups may point to ongoing </w:t>
      </w:r>
      <w:r w:rsidRPr="00F17126">
        <w:rPr>
          <w:rFonts w:ascii="Times New Roman" w:eastAsia="Calibri" w:hAnsi="Times New Roman" w:cs="Times New Roman"/>
          <w:i/>
          <w:sz w:val="24"/>
          <w:szCs w:val="24"/>
          <w:lang w:val="en-US"/>
        </w:rPr>
        <w:t>environmental</w:t>
      </w:r>
      <w:r w:rsidRPr="00F17126">
        <w:rPr>
          <w:rFonts w:ascii="Times New Roman" w:eastAsia="Calibri" w:hAnsi="Times New Roman" w:cs="Times New Roman"/>
          <w:sz w:val="24"/>
          <w:szCs w:val="24"/>
          <w:lang w:val="en-US"/>
        </w:rPr>
        <w:t xml:space="preserve"> processes – such as sea-level rise, desertification, and exhaustion of essential natural resources (e.g.</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clean water) – as threats that </w:t>
      </w:r>
      <w:r w:rsidR="007D55B6">
        <w:rPr>
          <w:rFonts w:ascii="Times New Roman" w:eastAsia="Calibri" w:hAnsi="Times New Roman" w:cs="Times New Roman"/>
          <w:sz w:val="24"/>
          <w:szCs w:val="24"/>
          <w:lang w:val="en-US"/>
        </w:rPr>
        <w:t>might</w:t>
      </w:r>
      <w:r w:rsidR="007D55B6"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force them to leave their homelands and face an even more uncertain future elsewhere</w:t>
      </w:r>
      <w:r w:rsidR="007A0867" w:rsidRPr="00F17126">
        <w:rPr>
          <w:rFonts w:ascii="Times New Roman" w:eastAsia="Calibri" w:hAnsi="Times New Roman" w:cs="Times New Roman"/>
          <w:sz w:val="24"/>
          <w:szCs w:val="24"/>
          <w:lang w:val="en-US"/>
        </w:rPr>
        <w:t xml:space="preserve"> (</w:t>
      </w:r>
      <w:r w:rsidR="006F0FBA">
        <w:rPr>
          <w:rFonts w:ascii="Times New Roman" w:eastAsia="Calibri" w:hAnsi="Times New Roman" w:cs="Times New Roman"/>
          <w:sz w:val="24"/>
          <w:szCs w:val="24"/>
          <w:lang w:val="en-US"/>
        </w:rPr>
        <w:t>IPCC</w:t>
      </w:r>
      <w:r w:rsidR="006D022E" w:rsidRPr="00F17126">
        <w:rPr>
          <w:rFonts w:ascii="Times New Roman" w:eastAsia="Calibri" w:hAnsi="Times New Roman" w:cs="Times New Roman"/>
          <w:sz w:val="24"/>
          <w:szCs w:val="24"/>
          <w:lang w:val="en-US"/>
        </w:rPr>
        <w:t>, 2013</w:t>
      </w:r>
      <w:r w:rsidR="007A086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Under such conditions, the </w:t>
      </w:r>
      <w:r w:rsidR="00820E8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rel</w:t>
      </w:r>
      <w:r w:rsidR="008208A7" w:rsidRPr="00F17126">
        <w:rPr>
          <w:rFonts w:ascii="Times New Roman" w:eastAsia="Calibri" w:hAnsi="Times New Roman" w:cs="Times New Roman"/>
          <w:sz w:val="24"/>
          <w:szCs w:val="24"/>
          <w:lang w:val="en-US"/>
        </w:rPr>
        <w:t>ies</w:t>
      </w:r>
      <w:r w:rsidRPr="00F17126">
        <w:rPr>
          <w:rFonts w:ascii="Times New Roman" w:eastAsia="Calibri" w:hAnsi="Times New Roman" w:cs="Times New Roman"/>
          <w:sz w:val="24"/>
          <w:szCs w:val="24"/>
          <w:lang w:val="en-US"/>
        </w:rPr>
        <w:t xml:space="preserve"> heavily on substantial increases in contributions from large and better</w:t>
      </w:r>
      <w:r w:rsidR="008208A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off countries. For most donor countries, however, support at the level required will likely not be politically feasible unless significantly moderated through cost-saving technological advances or other major innovations.    </w:t>
      </w:r>
    </w:p>
    <w:p w14:paraId="234EE4AA" w14:textId="77777777" w:rsidR="0065653B" w:rsidRPr="00F17126" w:rsidRDefault="0065653B" w:rsidP="009C477E">
      <w:pPr>
        <w:spacing w:after="120" w:line="360" w:lineRule="auto"/>
        <w:rPr>
          <w:rFonts w:ascii="Times New Roman" w:eastAsia="Calibri" w:hAnsi="Times New Roman" w:cs="Times New Roman"/>
          <w:sz w:val="24"/>
          <w:szCs w:val="24"/>
          <w:lang w:val="en-US"/>
        </w:rPr>
      </w:pPr>
    </w:p>
    <w:p w14:paraId="24A710D2" w14:textId="550D7C24" w:rsidR="0065653B" w:rsidRPr="00F17126" w:rsidRDefault="004F0B10" w:rsidP="0065653B">
      <w:pPr>
        <w:spacing w:after="120" w:line="360" w:lineRule="auto"/>
        <w:rPr>
          <w:rFonts w:ascii="Times New Roman" w:eastAsia="Calibri" w:hAnsi="Times New Roman" w:cs="Times New Roman"/>
          <w:i/>
          <w:sz w:val="24"/>
          <w:szCs w:val="24"/>
          <w:lang w:val="en-US"/>
        </w:rPr>
      </w:pPr>
      <w:r w:rsidRPr="00F17126">
        <w:rPr>
          <w:rFonts w:ascii="Times New Roman" w:eastAsia="Calibri" w:hAnsi="Times New Roman" w:cs="Times New Roman"/>
          <w:i/>
          <w:sz w:val="24"/>
          <w:szCs w:val="24"/>
          <w:lang w:val="en-US"/>
        </w:rPr>
        <w:t xml:space="preserve">4.3 </w:t>
      </w:r>
      <w:r w:rsidR="0065653B" w:rsidRPr="00F17126">
        <w:rPr>
          <w:rFonts w:ascii="Times New Roman" w:eastAsia="Calibri" w:hAnsi="Times New Roman" w:cs="Times New Roman"/>
          <w:i/>
          <w:sz w:val="24"/>
          <w:szCs w:val="24"/>
          <w:lang w:val="en-US"/>
        </w:rPr>
        <w:t>Prospects of coalition building</w:t>
      </w:r>
    </w:p>
    <w:p w14:paraId="383D1192" w14:textId="4A8E1F98" w:rsidR="003634AB" w:rsidRPr="00F17126" w:rsidRDefault="003634AB" w:rsidP="003634A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The prospects </w:t>
      </w:r>
      <w:r w:rsidR="00396761">
        <w:rPr>
          <w:rFonts w:ascii="Times New Roman" w:eastAsia="Calibri" w:hAnsi="Times New Roman" w:cs="Times New Roman"/>
          <w:sz w:val="24"/>
          <w:szCs w:val="24"/>
          <w:lang w:val="en-US"/>
        </w:rPr>
        <w:t>for</w:t>
      </w:r>
      <w:r w:rsidR="00396761"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progressive coalition building depend heavily on the relationship between </w:t>
      </w:r>
      <w:r w:rsidRPr="00F17126">
        <w:rPr>
          <w:rFonts w:ascii="Times New Roman" w:eastAsia="Calibri" w:hAnsi="Times New Roman" w:cs="Times New Roman"/>
          <w:i/>
          <w:sz w:val="24"/>
          <w:szCs w:val="24"/>
          <w:lang w:val="en-US"/>
        </w:rPr>
        <w:t>coalition builders</w:t>
      </w:r>
      <w:r w:rsidRPr="00F17126">
        <w:rPr>
          <w:rFonts w:ascii="Times New Roman" w:eastAsia="Calibri" w:hAnsi="Times New Roman" w:cs="Times New Roman"/>
          <w:sz w:val="24"/>
          <w:szCs w:val="24"/>
          <w:lang w:val="en-US"/>
        </w:rPr>
        <w:t xml:space="preserve"> and </w:t>
      </w:r>
      <w:r w:rsidRPr="00F17126">
        <w:rPr>
          <w:rFonts w:ascii="Times New Roman" w:eastAsia="Calibri" w:hAnsi="Times New Roman" w:cs="Times New Roman"/>
          <w:i/>
          <w:sz w:val="24"/>
          <w:szCs w:val="24"/>
          <w:lang w:val="en-US"/>
        </w:rPr>
        <w:t>veto players</w:t>
      </w:r>
      <w:r w:rsidRPr="00F17126">
        <w:rPr>
          <w:rFonts w:ascii="Times New Roman" w:eastAsia="Calibri" w:hAnsi="Times New Roman" w:cs="Times New Roman"/>
          <w:sz w:val="24"/>
          <w:szCs w:val="24"/>
          <w:lang w:val="en-US"/>
        </w:rPr>
        <w:t xml:space="preserve">. The group of coalition builders </w:t>
      </w:r>
      <w:r w:rsidR="00396761">
        <w:rPr>
          <w:rFonts w:ascii="Times New Roman" w:eastAsia="Calibri" w:hAnsi="Times New Roman" w:cs="Times New Roman"/>
          <w:sz w:val="24"/>
          <w:szCs w:val="24"/>
          <w:lang w:val="en-US"/>
        </w:rPr>
        <w:t>has</w:t>
      </w:r>
      <w:r w:rsidR="00396761"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a</w:t>
      </w:r>
      <w:r w:rsidR="007F6A16" w:rsidRPr="00F17126">
        <w:rPr>
          <w:rFonts w:ascii="Times New Roman" w:eastAsia="Calibri" w:hAnsi="Times New Roman" w:cs="Times New Roman"/>
          <w:sz w:val="24"/>
          <w:szCs w:val="24"/>
          <w:lang w:val="en-US"/>
        </w:rPr>
        <w:t>t</w:t>
      </w:r>
      <w:r w:rsidRPr="00F17126">
        <w:rPr>
          <w:rFonts w:ascii="Times New Roman" w:eastAsia="Calibri" w:hAnsi="Times New Roman" w:cs="Times New Roman"/>
          <w:sz w:val="24"/>
          <w:szCs w:val="24"/>
          <w:lang w:val="en-US"/>
        </w:rPr>
        <w:t xml:space="preserve"> its core</w:t>
      </w:r>
      <w:r w:rsidR="0065653B" w:rsidRPr="00F17126">
        <w:rPr>
          <w:rFonts w:ascii="Times New Roman" w:eastAsia="Calibri" w:hAnsi="Times New Roman" w:cs="Times New Roman"/>
          <w:sz w:val="24"/>
          <w:szCs w:val="24"/>
          <w:lang w:val="en-US"/>
        </w:rPr>
        <w:t xml:space="preserve"> seriously concerned activists who would likely become members of a winning coalition were such a</w:t>
      </w:r>
      <w:r w:rsidR="00777C40">
        <w:rPr>
          <w:rFonts w:ascii="Times New Roman" w:eastAsia="Calibri" w:hAnsi="Times New Roman" w:cs="Times New Roman"/>
          <w:sz w:val="24"/>
          <w:szCs w:val="24"/>
          <w:lang w:val="en-US"/>
        </w:rPr>
        <w:t>n</w:t>
      </w:r>
      <w:r w:rsidR="0065653B" w:rsidRPr="00F17126">
        <w:rPr>
          <w:rFonts w:ascii="Times New Roman" w:eastAsia="Calibri" w:hAnsi="Times New Roman" w:cs="Times New Roman"/>
          <w:sz w:val="24"/>
          <w:szCs w:val="24"/>
          <w:lang w:val="en-US"/>
        </w:rPr>
        <w:t xml:space="preserve"> </w:t>
      </w:r>
      <w:r w:rsidR="00777C40">
        <w:rPr>
          <w:rFonts w:ascii="Times New Roman" w:eastAsia="Calibri" w:hAnsi="Times New Roman" w:cs="Times New Roman"/>
          <w:sz w:val="24"/>
          <w:szCs w:val="24"/>
          <w:lang w:val="en-US"/>
        </w:rPr>
        <w:t>entity</w:t>
      </w:r>
      <w:r w:rsidR="0065653B" w:rsidRPr="00F17126">
        <w:rPr>
          <w:rFonts w:ascii="Times New Roman" w:eastAsia="Calibri" w:hAnsi="Times New Roman" w:cs="Times New Roman"/>
          <w:sz w:val="24"/>
          <w:szCs w:val="24"/>
          <w:lang w:val="en-US"/>
        </w:rPr>
        <w:t xml:space="preserve"> to emerge.</w:t>
      </w:r>
      <w:r w:rsidR="00F525C8" w:rsidRPr="0009104A">
        <w:rPr>
          <w:rFonts w:ascii="Times New Roman" w:eastAsia="Calibri" w:hAnsi="Times New Roman" w:cs="Times New Roman"/>
          <w:sz w:val="24"/>
          <w:szCs w:val="24"/>
          <w:vertAlign w:val="superscript"/>
          <w:lang w:val="en-US"/>
        </w:rPr>
        <w:footnoteReference w:id="3"/>
      </w:r>
      <w:r w:rsidR="00F525C8">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Such a coalition will likely</w:t>
      </w:r>
      <w:r w:rsidR="0065653B" w:rsidRPr="00F17126">
        <w:rPr>
          <w:rFonts w:ascii="Times New Roman" w:eastAsia="Calibri" w:hAnsi="Times New Roman" w:cs="Times New Roman"/>
          <w:sz w:val="24"/>
          <w:szCs w:val="24"/>
          <w:lang w:val="en-US"/>
        </w:rPr>
        <w:t xml:space="preserve"> bring together rich and poor countries, each largely respecting challenges facing the other side. </w:t>
      </w:r>
      <w:r w:rsidR="00C55639">
        <w:rPr>
          <w:rFonts w:ascii="Times New Roman" w:eastAsia="Calibri" w:hAnsi="Times New Roman" w:cs="Times New Roman"/>
          <w:sz w:val="24"/>
          <w:szCs w:val="24"/>
          <w:lang w:val="en-US"/>
        </w:rPr>
        <w:t>C</w:t>
      </w:r>
      <w:r w:rsidRPr="00F17126">
        <w:rPr>
          <w:rFonts w:ascii="Times New Roman" w:eastAsia="Calibri" w:hAnsi="Times New Roman" w:cs="Times New Roman"/>
          <w:sz w:val="24"/>
          <w:szCs w:val="24"/>
          <w:lang w:val="en-US"/>
        </w:rPr>
        <w:t xml:space="preserve">oalition builders </w:t>
      </w:r>
      <w:r w:rsidR="0065653B" w:rsidRPr="00F17126">
        <w:rPr>
          <w:rFonts w:ascii="Times New Roman" w:eastAsia="Calibri" w:hAnsi="Times New Roman" w:cs="Times New Roman"/>
          <w:sz w:val="24"/>
          <w:szCs w:val="24"/>
          <w:lang w:val="en-US"/>
        </w:rPr>
        <w:t>would lik</w:t>
      </w:r>
      <w:r w:rsidRPr="00F17126">
        <w:rPr>
          <w:rFonts w:ascii="Times New Roman" w:eastAsia="Calibri" w:hAnsi="Times New Roman" w:cs="Times New Roman"/>
          <w:sz w:val="24"/>
          <w:szCs w:val="24"/>
          <w:lang w:val="en-US"/>
        </w:rPr>
        <w:t>e to see a genuinely progressive</w:t>
      </w:r>
      <w:r w:rsidR="0065653B" w:rsidRPr="00F17126">
        <w:rPr>
          <w:rFonts w:ascii="Times New Roman" w:eastAsia="Calibri" w:hAnsi="Times New Roman" w:cs="Times New Roman"/>
          <w:sz w:val="24"/>
          <w:szCs w:val="24"/>
          <w:lang w:val="en-US"/>
        </w:rPr>
        <w:t xml:space="preserve"> global regime emerge from the </w:t>
      </w:r>
      <w:r w:rsidR="00820E85" w:rsidRPr="00F17126">
        <w:rPr>
          <w:rFonts w:ascii="Times New Roman" w:eastAsia="Calibri" w:hAnsi="Times New Roman" w:cs="Times New Roman"/>
          <w:sz w:val="24"/>
          <w:szCs w:val="24"/>
          <w:lang w:val="en-US"/>
        </w:rPr>
        <w:t>PA</w:t>
      </w:r>
      <w:r w:rsidR="0065653B" w:rsidRPr="00F17126">
        <w:rPr>
          <w:rFonts w:ascii="Times New Roman" w:eastAsia="Calibri" w:hAnsi="Times New Roman" w:cs="Times New Roman"/>
          <w:sz w:val="24"/>
          <w:szCs w:val="24"/>
          <w:lang w:val="en-US"/>
        </w:rPr>
        <w:t xml:space="preserve">. </w:t>
      </w:r>
    </w:p>
    <w:p w14:paraId="19D7DA3E" w14:textId="44591B26" w:rsidR="003634AB" w:rsidRPr="00F17126" w:rsidRDefault="003634AB" w:rsidP="003634A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The veto players </w:t>
      </w:r>
      <w:r w:rsidR="000C48D8" w:rsidRPr="00F17126">
        <w:rPr>
          <w:rFonts w:ascii="Times New Roman" w:eastAsia="Calibri" w:hAnsi="Times New Roman" w:cs="Times New Roman"/>
          <w:sz w:val="24"/>
          <w:szCs w:val="24"/>
          <w:lang w:val="en-US"/>
        </w:rPr>
        <w:t>group is a somewhat</w:t>
      </w:r>
      <w:r w:rsidRPr="00F17126">
        <w:rPr>
          <w:rFonts w:ascii="Times New Roman" w:eastAsia="Calibri" w:hAnsi="Times New Roman" w:cs="Times New Roman"/>
          <w:sz w:val="24"/>
          <w:szCs w:val="24"/>
          <w:lang w:val="en-US"/>
        </w:rPr>
        <w:t xml:space="preserve"> loose coalition c</w:t>
      </w:r>
      <w:r w:rsidR="000C48D8" w:rsidRPr="00F17126">
        <w:rPr>
          <w:rFonts w:ascii="Times New Roman" w:eastAsia="Calibri" w:hAnsi="Times New Roman" w:cs="Times New Roman"/>
          <w:sz w:val="24"/>
          <w:szCs w:val="24"/>
          <w:lang w:val="en-US"/>
        </w:rPr>
        <w:t>onsisting</w:t>
      </w:r>
      <w:r w:rsidRPr="00F17126">
        <w:rPr>
          <w:rFonts w:ascii="Times New Roman" w:eastAsia="Calibri" w:hAnsi="Times New Roman" w:cs="Times New Roman"/>
          <w:sz w:val="24"/>
          <w:szCs w:val="24"/>
          <w:lang w:val="en-US"/>
        </w:rPr>
        <w:t xml:space="preserve"> mainly of major oil and gas producers whose wealth depends upon </w:t>
      </w:r>
      <w:r w:rsidR="00396761">
        <w:rPr>
          <w:rFonts w:ascii="Times New Roman" w:eastAsia="Calibri" w:hAnsi="Times New Roman" w:cs="Times New Roman"/>
          <w:sz w:val="24"/>
          <w:szCs w:val="24"/>
          <w:lang w:val="en-US"/>
        </w:rPr>
        <w:t xml:space="preserve">the </w:t>
      </w:r>
      <w:r w:rsidRPr="00F17126">
        <w:rPr>
          <w:rFonts w:ascii="Times New Roman" w:eastAsia="Calibri" w:hAnsi="Times New Roman" w:cs="Times New Roman"/>
          <w:sz w:val="24"/>
          <w:szCs w:val="24"/>
          <w:lang w:val="en-US"/>
        </w:rPr>
        <w:t xml:space="preserve">export of fossil fuels. </w:t>
      </w:r>
      <w:r w:rsidR="007C1029">
        <w:rPr>
          <w:rFonts w:ascii="Times New Roman" w:eastAsia="Calibri" w:hAnsi="Times New Roman" w:cs="Times New Roman"/>
          <w:sz w:val="24"/>
          <w:szCs w:val="24"/>
          <w:lang w:val="en-US"/>
        </w:rPr>
        <w:t>They are keen</w:t>
      </w:r>
      <w:r w:rsidRPr="00F17126">
        <w:rPr>
          <w:rFonts w:ascii="Times New Roman" w:eastAsia="Calibri" w:hAnsi="Times New Roman" w:cs="Times New Roman"/>
          <w:sz w:val="24"/>
          <w:szCs w:val="24"/>
          <w:lang w:val="en-US"/>
        </w:rPr>
        <w:t xml:space="preserve"> to preserve access to attractive markets, </w:t>
      </w:r>
      <w:r w:rsidR="007D55B6">
        <w:rPr>
          <w:rFonts w:ascii="Times New Roman" w:eastAsia="Calibri" w:hAnsi="Times New Roman" w:cs="Times New Roman"/>
          <w:sz w:val="24"/>
          <w:szCs w:val="24"/>
          <w:lang w:val="en-US"/>
        </w:rPr>
        <w:t>mostly</w:t>
      </w:r>
      <w:r w:rsidRPr="00F17126">
        <w:rPr>
          <w:rFonts w:ascii="Times New Roman" w:eastAsia="Calibri" w:hAnsi="Times New Roman" w:cs="Times New Roman"/>
          <w:sz w:val="24"/>
          <w:szCs w:val="24"/>
          <w:lang w:val="en-US"/>
        </w:rPr>
        <w:t xml:space="preserve"> still found in rich countries. Recognizing that future market prospects </w:t>
      </w:r>
      <w:r w:rsidR="00C55639">
        <w:rPr>
          <w:rFonts w:ascii="Times New Roman" w:eastAsia="Calibri" w:hAnsi="Times New Roman" w:cs="Times New Roman"/>
          <w:sz w:val="24"/>
          <w:szCs w:val="24"/>
          <w:lang w:val="en-US"/>
        </w:rPr>
        <w:t>will likely</w:t>
      </w:r>
      <w:r w:rsidRPr="00F17126">
        <w:rPr>
          <w:rFonts w:ascii="Times New Roman" w:eastAsia="Calibri" w:hAnsi="Times New Roman" w:cs="Times New Roman"/>
          <w:sz w:val="24"/>
          <w:szCs w:val="24"/>
          <w:lang w:val="en-US"/>
        </w:rPr>
        <w:t xml:space="preserve"> change, some major oil and gas producers are investing heavily in </w:t>
      </w:r>
      <w:r w:rsidRPr="00F17126">
        <w:rPr>
          <w:rFonts w:ascii="Times New Roman" w:eastAsia="Calibri" w:hAnsi="Times New Roman" w:cs="Times New Roman"/>
          <w:sz w:val="24"/>
          <w:szCs w:val="24"/>
          <w:lang w:val="en-US"/>
        </w:rPr>
        <w:lastRenderedPageBreak/>
        <w:t>large solar energy</w:t>
      </w:r>
      <w:r w:rsidR="00C55639">
        <w:rPr>
          <w:rFonts w:ascii="Times New Roman" w:eastAsia="Calibri" w:hAnsi="Times New Roman" w:cs="Times New Roman"/>
          <w:sz w:val="24"/>
          <w:szCs w:val="24"/>
          <w:lang w:val="en-US"/>
        </w:rPr>
        <w:t xml:space="preserve"> plants</w:t>
      </w:r>
      <w:r w:rsidRPr="00F17126">
        <w:rPr>
          <w:rFonts w:ascii="Times New Roman" w:eastAsia="Calibri" w:hAnsi="Times New Roman" w:cs="Times New Roman"/>
          <w:sz w:val="24"/>
          <w:szCs w:val="24"/>
          <w:lang w:val="en-US"/>
        </w:rPr>
        <w:t xml:space="preserve">, aimed mostly at domestic markets. Such investments </w:t>
      </w:r>
      <w:r w:rsidR="00224F54">
        <w:rPr>
          <w:rFonts w:ascii="Times New Roman" w:eastAsia="Calibri" w:hAnsi="Times New Roman" w:cs="Times New Roman"/>
          <w:sz w:val="24"/>
          <w:szCs w:val="24"/>
          <w:lang w:val="en-US"/>
        </w:rPr>
        <w:t>might</w:t>
      </w:r>
      <w:r w:rsidR="00224F54"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nonetheless be interpreted as </w:t>
      </w:r>
      <w:r w:rsidR="00224F54">
        <w:rPr>
          <w:rFonts w:ascii="Times New Roman" w:eastAsia="Calibri" w:hAnsi="Times New Roman" w:cs="Times New Roman"/>
          <w:sz w:val="24"/>
          <w:szCs w:val="24"/>
          <w:lang w:val="en-US"/>
        </w:rPr>
        <w:t>indicating</w:t>
      </w:r>
      <w:r w:rsidRPr="00F17126">
        <w:rPr>
          <w:rFonts w:ascii="Times New Roman" w:eastAsia="Calibri" w:hAnsi="Times New Roman" w:cs="Times New Roman"/>
          <w:sz w:val="24"/>
          <w:szCs w:val="24"/>
          <w:lang w:val="en-US"/>
        </w:rPr>
        <w:t xml:space="preserve"> that even major oil and gas producers are preparing for change.</w:t>
      </w:r>
    </w:p>
    <w:p w14:paraId="08DC4BF3" w14:textId="04DF4FA6" w:rsidR="003634AB" w:rsidRPr="00F17126" w:rsidRDefault="003634AB" w:rsidP="003634AB">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Interestingly, it seems that during the past ten years or so</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these groups have </w:t>
      </w:r>
      <w:r w:rsidR="00224F54">
        <w:rPr>
          <w:rFonts w:ascii="Times New Roman" w:eastAsia="Calibri" w:hAnsi="Times New Roman" w:cs="Times New Roman"/>
          <w:sz w:val="24"/>
          <w:szCs w:val="24"/>
          <w:lang w:val="en-US"/>
        </w:rPr>
        <w:t>somewhat</w:t>
      </w:r>
      <w:r w:rsidRPr="00F17126">
        <w:rPr>
          <w:rFonts w:ascii="Times New Roman" w:eastAsia="Calibri" w:hAnsi="Times New Roman" w:cs="Times New Roman"/>
          <w:sz w:val="24"/>
          <w:szCs w:val="24"/>
          <w:lang w:val="en-US"/>
        </w:rPr>
        <w:t xml:space="preserve"> converged on a common understanding of three basic normative principles </w:t>
      </w:r>
      <w:r w:rsidR="00224F54">
        <w:rPr>
          <w:rFonts w:ascii="Times New Roman" w:eastAsia="Calibri" w:hAnsi="Times New Roman" w:cs="Times New Roman"/>
          <w:sz w:val="24"/>
          <w:szCs w:val="24"/>
          <w:lang w:val="en-US"/>
        </w:rPr>
        <w:t>that can guide</w:t>
      </w:r>
      <w:r w:rsidRPr="00F17126">
        <w:rPr>
          <w:rFonts w:ascii="Times New Roman" w:eastAsia="Calibri" w:hAnsi="Times New Roman" w:cs="Times New Roman"/>
          <w:sz w:val="24"/>
          <w:szCs w:val="24"/>
          <w:lang w:val="en-US"/>
        </w:rPr>
        <w:t xml:space="preserve"> climate chang</w:t>
      </w:r>
      <w:r w:rsidR="007A0867" w:rsidRPr="00F17126">
        <w:rPr>
          <w:rFonts w:ascii="Times New Roman" w:eastAsia="Calibri" w:hAnsi="Times New Roman" w:cs="Times New Roman"/>
          <w:sz w:val="24"/>
          <w:szCs w:val="24"/>
          <w:lang w:val="en-US"/>
        </w:rPr>
        <w:t xml:space="preserve">e negotiations (Matoo </w:t>
      </w:r>
      <w:r w:rsidR="008F7F61">
        <w:rPr>
          <w:rFonts w:ascii="Times New Roman" w:eastAsia="Calibri" w:hAnsi="Times New Roman" w:cs="Times New Roman"/>
          <w:sz w:val="24"/>
          <w:szCs w:val="24"/>
          <w:lang w:val="en-US"/>
        </w:rPr>
        <w:t>&amp;</w:t>
      </w:r>
      <w:r w:rsidR="008F7F61" w:rsidRPr="00F17126">
        <w:rPr>
          <w:rFonts w:ascii="Times New Roman" w:eastAsia="Calibri" w:hAnsi="Times New Roman" w:cs="Times New Roman"/>
          <w:sz w:val="24"/>
          <w:szCs w:val="24"/>
          <w:lang w:val="en-US"/>
        </w:rPr>
        <w:t xml:space="preserve"> </w:t>
      </w:r>
      <w:r w:rsidR="007A0867" w:rsidRPr="00F17126">
        <w:rPr>
          <w:rFonts w:ascii="Times New Roman" w:eastAsia="Calibri" w:hAnsi="Times New Roman" w:cs="Times New Roman"/>
          <w:sz w:val="24"/>
          <w:szCs w:val="24"/>
          <w:lang w:val="en-US"/>
        </w:rPr>
        <w:t>Subramanian</w:t>
      </w:r>
      <w:r w:rsidR="00503950" w:rsidRPr="00F17126">
        <w:rPr>
          <w:rFonts w:ascii="Times New Roman" w:eastAsia="Calibri" w:hAnsi="Times New Roman" w:cs="Times New Roman"/>
          <w:sz w:val="24"/>
          <w:szCs w:val="24"/>
          <w:lang w:val="en-US"/>
        </w:rPr>
        <w:t>,</w:t>
      </w:r>
      <w:r w:rsidR="007A0867" w:rsidRPr="00F17126">
        <w:rPr>
          <w:rFonts w:ascii="Times New Roman" w:eastAsia="Calibri" w:hAnsi="Times New Roman" w:cs="Times New Roman"/>
          <w:sz w:val="24"/>
          <w:szCs w:val="24"/>
          <w:lang w:val="en-US"/>
        </w:rPr>
        <w:t xml:space="preserve"> 20</w:t>
      </w:r>
      <w:r w:rsidR="00503950" w:rsidRPr="00F17126">
        <w:rPr>
          <w:rFonts w:ascii="Times New Roman" w:eastAsia="Calibri" w:hAnsi="Times New Roman" w:cs="Times New Roman"/>
          <w:sz w:val="24"/>
          <w:szCs w:val="24"/>
          <w:lang w:val="en-US"/>
        </w:rPr>
        <w:t>15;</w:t>
      </w:r>
      <w:r w:rsidR="007A0867" w:rsidRPr="00F17126">
        <w:rPr>
          <w:rFonts w:ascii="Times New Roman" w:eastAsia="Calibri" w:hAnsi="Times New Roman" w:cs="Times New Roman"/>
          <w:sz w:val="24"/>
          <w:szCs w:val="24"/>
          <w:lang w:val="en-US"/>
        </w:rPr>
        <w:t xml:space="preserve"> Muller</w:t>
      </w:r>
      <w:r w:rsidR="00777C40">
        <w:rPr>
          <w:rFonts w:ascii="Times New Roman" w:eastAsia="Calibri" w:hAnsi="Times New Roman" w:cs="Times New Roman"/>
          <w:sz w:val="24"/>
          <w:szCs w:val="24"/>
          <w:lang w:val="en-US"/>
        </w:rPr>
        <w:t xml:space="preserve"> et al.,</w:t>
      </w:r>
      <w:r w:rsidR="007A0867" w:rsidRPr="00F17126">
        <w:rPr>
          <w:rFonts w:ascii="Times New Roman" w:eastAsia="Calibri" w:hAnsi="Times New Roman" w:cs="Times New Roman"/>
          <w:sz w:val="24"/>
          <w:szCs w:val="24"/>
          <w:lang w:val="en-US"/>
        </w:rPr>
        <w:t xml:space="preserve"> 2009</w:t>
      </w:r>
      <w:r w:rsidR="008F7F61">
        <w:rPr>
          <w:rFonts w:ascii="Times New Roman" w:eastAsia="Calibri" w:hAnsi="Times New Roman" w:cs="Times New Roman"/>
          <w:sz w:val="24"/>
          <w:szCs w:val="24"/>
          <w:lang w:val="en-US"/>
        </w:rPr>
        <w:t>;</w:t>
      </w:r>
      <w:r w:rsidR="007A0867" w:rsidRPr="00F17126">
        <w:rPr>
          <w:rFonts w:ascii="Times New Roman" w:eastAsia="Calibri" w:hAnsi="Times New Roman" w:cs="Times New Roman"/>
          <w:sz w:val="24"/>
          <w:szCs w:val="24"/>
          <w:lang w:val="en-US"/>
        </w:rPr>
        <w:t xml:space="preserve"> Underdal </w:t>
      </w:r>
      <w:r w:rsidR="006D022E" w:rsidRPr="00F17126">
        <w:rPr>
          <w:rFonts w:ascii="Times New Roman" w:eastAsia="Calibri" w:hAnsi="Times New Roman" w:cs="Times New Roman"/>
          <w:sz w:val="24"/>
          <w:szCs w:val="24"/>
          <w:lang w:val="en-US"/>
        </w:rPr>
        <w:t>&amp;</w:t>
      </w:r>
      <w:r w:rsidR="007A0867" w:rsidRPr="00F17126">
        <w:rPr>
          <w:rFonts w:ascii="Times New Roman" w:eastAsia="Calibri" w:hAnsi="Times New Roman" w:cs="Times New Roman"/>
          <w:sz w:val="24"/>
          <w:szCs w:val="24"/>
          <w:lang w:val="en-US"/>
        </w:rPr>
        <w:t xml:space="preserve"> Wei</w:t>
      </w:r>
      <w:r w:rsidR="00503950" w:rsidRPr="00F17126">
        <w:rPr>
          <w:rFonts w:ascii="Times New Roman" w:eastAsia="Calibri" w:hAnsi="Times New Roman" w:cs="Times New Roman"/>
          <w:sz w:val="24"/>
          <w:szCs w:val="24"/>
          <w:lang w:val="en-US"/>
        </w:rPr>
        <w:t>,</w:t>
      </w:r>
      <w:r w:rsidR="007A0867" w:rsidRPr="00F17126">
        <w:rPr>
          <w:rFonts w:ascii="Times New Roman" w:eastAsia="Calibri" w:hAnsi="Times New Roman" w:cs="Times New Roman"/>
          <w:sz w:val="24"/>
          <w:szCs w:val="24"/>
          <w:lang w:val="en-US"/>
        </w:rPr>
        <w:t xml:space="preserve"> 2015)</w:t>
      </w:r>
      <w:r w:rsidRPr="00F17126">
        <w:rPr>
          <w:rFonts w:ascii="Times New Roman" w:eastAsia="Calibri" w:hAnsi="Times New Roman" w:cs="Times New Roman"/>
          <w:sz w:val="24"/>
          <w:szCs w:val="24"/>
          <w:lang w:val="en-US"/>
        </w:rPr>
        <w:t xml:space="preserve">. </w:t>
      </w:r>
      <w:r w:rsidR="00224F54">
        <w:rPr>
          <w:rFonts w:ascii="Times New Roman" w:eastAsia="Calibri" w:hAnsi="Times New Roman" w:cs="Times New Roman"/>
          <w:sz w:val="24"/>
          <w:szCs w:val="24"/>
          <w:lang w:val="en-US"/>
        </w:rPr>
        <w:t>One such principle</w:t>
      </w:r>
      <w:r w:rsidRPr="00F17126">
        <w:rPr>
          <w:rFonts w:ascii="Times New Roman" w:eastAsia="Calibri" w:hAnsi="Times New Roman" w:cs="Times New Roman"/>
          <w:sz w:val="24"/>
          <w:szCs w:val="24"/>
          <w:lang w:val="en-US"/>
        </w:rPr>
        <w:t xml:space="preserve"> says that</w:t>
      </w:r>
      <w:r w:rsidR="000C48D8" w:rsidRPr="00F17126">
        <w:rPr>
          <w:rFonts w:ascii="Times New Roman" w:eastAsia="Calibri" w:hAnsi="Times New Roman" w:cs="Times New Roman"/>
          <w:sz w:val="24"/>
          <w:szCs w:val="24"/>
          <w:lang w:val="en-US"/>
        </w:rPr>
        <w:t>, in general,</w:t>
      </w:r>
      <w:r w:rsidRPr="00F17126">
        <w:rPr>
          <w:rFonts w:ascii="Times New Roman" w:eastAsia="Calibri" w:hAnsi="Times New Roman" w:cs="Times New Roman"/>
          <w:sz w:val="24"/>
          <w:szCs w:val="24"/>
          <w:lang w:val="en-US"/>
        </w:rPr>
        <w:t xml:space="preserve"> actor</w:t>
      </w:r>
      <w:r w:rsidR="000C48D8" w:rsidRPr="00F17126">
        <w:rPr>
          <w:rFonts w:ascii="Times New Roman" w:eastAsia="Calibri" w:hAnsi="Times New Roman" w:cs="Times New Roman"/>
          <w:sz w:val="24"/>
          <w:szCs w:val="24"/>
          <w:lang w:val="en-US"/>
        </w:rPr>
        <w:t>s</w:t>
      </w:r>
      <w:r w:rsidRPr="00F17126">
        <w:rPr>
          <w:rFonts w:ascii="Times New Roman" w:eastAsia="Calibri" w:hAnsi="Times New Roman" w:cs="Times New Roman"/>
          <w:sz w:val="24"/>
          <w:szCs w:val="24"/>
          <w:lang w:val="en-US"/>
        </w:rPr>
        <w:t xml:space="preserve"> are </w:t>
      </w:r>
      <w:r w:rsidRPr="00F17126">
        <w:rPr>
          <w:rFonts w:ascii="Times New Roman" w:eastAsia="Calibri" w:hAnsi="Times New Roman" w:cs="Times New Roman"/>
          <w:i/>
          <w:sz w:val="24"/>
          <w:szCs w:val="24"/>
          <w:lang w:val="en-US"/>
        </w:rPr>
        <w:t>responsible</w:t>
      </w:r>
      <w:r w:rsidRPr="00F17126">
        <w:rPr>
          <w:rFonts w:ascii="Times New Roman" w:eastAsia="Calibri" w:hAnsi="Times New Roman" w:cs="Times New Roman"/>
          <w:sz w:val="24"/>
          <w:szCs w:val="24"/>
          <w:lang w:val="en-US"/>
        </w:rPr>
        <w:t xml:space="preserve"> f</w:t>
      </w:r>
      <w:r w:rsidR="000C48D8" w:rsidRPr="00F17126">
        <w:rPr>
          <w:rFonts w:ascii="Times New Roman" w:eastAsia="Calibri" w:hAnsi="Times New Roman" w:cs="Times New Roman"/>
          <w:sz w:val="24"/>
          <w:szCs w:val="24"/>
          <w:lang w:val="en-US"/>
        </w:rPr>
        <w:t xml:space="preserve">or damage generated by their </w:t>
      </w:r>
      <w:r w:rsidRPr="00F17126">
        <w:rPr>
          <w:rFonts w:ascii="Times New Roman" w:eastAsia="Calibri" w:hAnsi="Times New Roman" w:cs="Times New Roman"/>
          <w:sz w:val="24"/>
          <w:szCs w:val="24"/>
          <w:lang w:val="en-US"/>
        </w:rPr>
        <w:t xml:space="preserve">activities. Another principle focuses on intellectual and financial </w:t>
      </w:r>
      <w:r w:rsidRPr="00F17126">
        <w:rPr>
          <w:rFonts w:ascii="Times New Roman" w:eastAsia="Calibri" w:hAnsi="Times New Roman" w:cs="Times New Roman"/>
          <w:i/>
          <w:sz w:val="24"/>
          <w:szCs w:val="24"/>
          <w:lang w:val="en-US"/>
        </w:rPr>
        <w:t>capabilities</w:t>
      </w:r>
      <w:r w:rsidRPr="00F17126">
        <w:rPr>
          <w:rFonts w:ascii="Times New Roman" w:eastAsia="Calibri" w:hAnsi="Times New Roman" w:cs="Times New Roman"/>
          <w:sz w:val="24"/>
          <w:szCs w:val="24"/>
          <w:lang w:val="en-US"/>
        </w:rPr>
        <w:t xml:space="preserve"> to develop effective alternatives to fossil fuels. </w:t>
      </w:r>
      <w:r w:rsidR="00224F54">
        <w:rPr>
          <w:rFonts w:ascii="Times New Roman" w:eastAsia="Calibri" w:hAnsi="Times New Roman" w:cs="Times New Roman"/>
          <w:sz w:val="24"/>
          <w:szCs w:val="24"/>
          <w:lang w:val="en-US"/>
        </w:rPr>
        <w:t>Given gaps</w:t>
      </w:r>
      <w:r w:rsidRPr="00F17126">
        <w:rPr>
          <w:rFonts w:ascii="Times New Roman" w:eastAsia="Calibri" w:hAnsi="Times New Roman" w:cs="Times New Roman"/>
          <w:sz w:val="24"/>
          <w:szCs w:val="24"/>
          <w:lang w:val="en-US"/>
        </w:rPr>
        <w:t xml:space="preserve"> between rich and poor, </w:t>
      </w:r>
      <w:r w:rsidR="000C48D8" w:rsidRPr="00F17126">
        <w:rPr>
          <w:rFonts w:ascii="Times New Roman" w:eastAsia="Calibri" w:hAnsi="Times New Roman" w:cs="Times New Roman"/>
          <w:sz w:val="24"/>
          <w:szCs w:val="24"/>
          <w:lang w:val="en-US"/>
        </w:rPr>
        <w:t xml:space="preserve">this criterion is usually translated into </w:t>
      </w:r>
      <w:r w:rsidR="00E13377" w:rsidRPr="00F17126">
        <w:rPr>
          <w:rFonts w:ascii="Times New Roman" w:eastAsia="Calibri" w:hAnsi="Times New Roman" w:cs="Times New Roman"/>
          <w:sz w:val="24"/>
          <w:szCs w:val="24"/>
          <w:lang w:val="en-US"/>
        </w:rPr>
        <w:t>a rule requiring that</w:t>
      </w:r>
      <w:r w:rsidR="000C48D8" w:rsidRPr="00F17126">
        <w:rPr>
          <w:rFonts w:ascii="Times New Roman" w:eastAsia="Calibri" w:hAnsi="Times New Roman" w:cs="Times New Roman"/>
          <w:sz w:val="24"/>
          <w:szCs w:val="24"/>
          <w:lang w:val="en-US"/>
        </w:rPr>
        <w:t xml:space="preserve"> </w:t>
      </w:r>
      <w:r w:rsidR="00E13377" w:rsidRPr="00F17126">
        <w:rPr>
          <w:rFonts w:ascii="Times New Roman" w:eastAsia="Calibri" w:hAnsi="Times New Roman" w:cs="Times New Roman"/>
          <w:sz w:val="24"/>
          <w:szCs w:val="24"/>
          <w:lang w:val="en-US"/>
        </w:rPr>
        <w:t xml:space="preserve">the rich </w:t>
      </w:r>
      <w:r w:rsidRPr="00F17126">
        <w:rPr>
          <w:rFonts w:ascii="Times New Roman" w:eastAsia="Calibri" w:hAnsi="Times New Roman" w:cs="Times New Roman"/>
          <w:sz w:val="24"/>
          <w:szCs w:val="24"/>
          <w:lang w:val="en-US"/>
        </w:rPr>
        <w:t xml:space="preserve">help </w:t>
      </w:r>
      <w:r w:rsidR="00E13377" w:rsidRPr="00F17126">
        <w:rPr>
          <w:rFonts w:ascii="Times New Roman" w:eastAsia="Calibri" w:hAnsi="Times New Roman" w:cs="Times New Roman"/>
          <w:sz w:val="24"/>
          <w:szCs w:val="24"/>
          <w:lang w:val="en-US"/>
        </w:rPr>
        <w:t xml:space="preserve">the poor </w:t>
      </w:r>
      <w:r w:rsidR="00224F54">
        <w:rPr>
          <w:rFonts w:ascii="Times New Roman" w:eastAsia="Calibri" w:hAnsi="Times New Roman" w:cs="Times New Roman"/>
          <w:sz w:val="24"/>
          <w:szCs w:val="24"/>
          <w:lang w:val="en-US"/>
        </w:rPr>
        <w:t xml:space="preserve">exploit </w:t>
      </w:r>
      <w:r w:rsidRPr="00F17126">
        <w:rPr>
          <w:rFonts w:ascii="Times New Roman" w:eastAsia="Calibri" w:hAnsi="Times New Roman" w:cs="Times New Roman"/>
          <w:sz w:val="24"/>
          <w:szCs w:val="24"/>
          <w:lang w:val="en-US"/>
        </w:rPr>
        <w:t xml:space="preserve">renewable </w:t>
      </w:r>
      <w:r w:rsidR="00E13377" w:rsidRPr="00F17126">
        <w:rPr>
          <w:rFonts w:ascii="Times New Roman" w:eastAsia="Calibri" w:hAnsi="Times New Roman" w:cs="Times New Roman"/>
          <w:sz w:val="24"/>
          <w:szCs w:val="24"/>
          <w:lang w:val="en-US"/>
        </w:rPr>
        <w:t xml:space="preserve">or low-carbon </w:t>
      </w:r>
      <w:r w:rsidR="00F270FA">
        <w:rPr>
          <w:rFonts w:ascii="Times New Roman" w:eastAsia="Calibri" w:hAnsi="Times New Roman" w:cs="Times New Roman"/>
          <w:sz w:val="24"/>
          <w:szCs w:val="24"/>
          <w:lang w:val="en-US"/>
        </w:rPr>
        <w:t xml:space="preserve">energy </w:t>
      </w:r>
      <w:r w:rsidR="00E13377" w:rsidRPr="00F17126">
        <w:rPr>
          <w:rFonts w:ascii="Times New Roman" w:eastAsia="Calibri" w:hAnsi="Times New Roman" w:cs="Times New Roman"/>
          <w:sz w:val="24"/>
          <w:szCs w:val="24"/>
          <w:lang w:val="en-US"/>
        </w:rPr>
        <w:t>sources</w:t>
      </w:r>
      <w:r w:rsidRPr="00F17126">
        <w:rPr>
          <w:rFonts w:ascii="Times New Roman" w:eastAsia="Calibri" w:hAnsi="Times New Roman" w:cs="Times New Roman"/>
          <w:sz w:val="24"/>
          <w:szCs w:val="24"/>
          <w:lang w:val="en-US"/>
        </w:rPr>
        <w:t xml:space="preserve">. The third principle elevates </w:t>
      </w:r>
      <w:r w:rsidRPr="00F17126">
        <w:rPr>
          <w:rFonts w:ascii="Times New Roman" w:eastAsia="Calibri" w:hAnsi="Times New Roman" w:cs="Times New Roman"/>
          <w:i/>
          <w:sz w:val="24"/>
          <w:szCs w:val="24"/>
          <w:lang w:val="en-US"/>
        </w:rPr>
        <w:t>basic human needs</w:t>
      </w:r>
      <w:r w:rsidR="00E13377" w:rsidRPr="00F17126">
        <w:rPr>
          <w:rFonts w:ascii="Times New Roman" w:eastAsia="Calibri" w:hAnsi="Times New Roman" w:cs="Times New Roman"/>
          <w:sz w:val="24"/>
          <w:szCs w:val="24"/>
          <w:lang w:val="en-US"/>
        </w:rPr>
        <w:t xml:space="preserve"> to the status of an in</w:t>
      </w:r>
      <w:r w:rsidRPr="00F17126">
        <w:rPr>
          <w:rFonts w:ascii="Times New Roman" w:eastAsia="Calibri" w:hAnsi="Times New Roman" w:cs="Times New Roman"/>
          <w:sz w:val="24"/>
          <w:szCs w:val="24"/>
          <w:lang w:val="en-US"/>
        </w:rPr>
        <w:t xml:space="preserve">disputable criterion. All these principles are frequently invoked and rarely disputed. Even President Trump’s </w:t>
      </w:r>
      <w:r w:rsidR="00224F54">
        <w:rPr>
          <w:rFonts w:ascii="Times New Roman" w:eastAsia="Calibri" w:hAnsi="Times New Roman" w:cs="Times New Roman"/>
          <w:sz w:val="24"/>
          <w:szCs w:val="24"/>
          <w:lang w:val="en-US"/>
        </w:rPr>
        <w:t>abrupt</w:t>
      </w:r>
      <w:r w:rsidR="00224F54"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decision to withdraw the United States from the </w:t>
      </w:r>
      <w:r w:rsidR="00820E8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seems to be more an attack on IPCC advice and </w:t>
      </w:r>
      <w:r w:rsidR="00396761">
        <w:rPr>
          <w:rFonts w:ascii="Times New Roman" w:eastAsia="Calibri" w:hAnsi="Times New Roman" w:cs="Times New Roman"/>
          <w:sz w:val="24"/>
          <w:szCs w:val="24"/>
          <w:lang w:val="en-US"/>
        </w:rPr>
        <w:t xml:space="preserve">the </w:t>
      </w:r>
      <w:r w:rsidRPr="00F17126">
        <w:rPr>
          <w:rFonts w:ascii="Times New Roman" w:eastAsia="Calibri" w:hAnsi="Times New Roman" w:cs="Times New Roman"/>
          <w:sz w:val="24"/>
          <w:szCs w:val="24"/>
          <w:lang w:val="en-US"/>
        </w:rPr>
        <w:t xml:space="preserve">seemingly unfair distribution of obligations among rich countries than an attack on general norms for </w:t>
      </w:r>
      <w:r w:rsidR="00224F54">
        <w:rPr>
          <w:rFonts w:ascii="Times New Roman" w:eastAsia="Calibri" w:hAnsi="Times New Roman" w:cs="Times New Roman"/>
          <w:sz w:val="24"/>
          <w:szCs w:val="24"/>
          <w:lang w:val="en-US"/>
        </w:rPr>
        <w:t>assisting</w:t>
      </w:r>
      <w:r w:rsidRPr="00F17126">
        <w:rPr>
          <w:rFonts w:ascii="Times New Roman" w:eastAsia="Calibri" w:hAnsi="Times New Roman" w:cs="Times New Roman"/>
          <w:sz w:val="24"/>
          <w:szCs w:val="24"/>
          <w:lang w:val="en-US"/>
        </w:rPr>
        <w:t xml:space="preserve"> poor developing countries.</w:t>
      </w:r>
    </w:p>
    <w:p w14:paraId="065A7170" w14:textId="09E382D9" w:rsidR="00714BE4" w:rsidRPr="00F17126" w:rsidRDefault="001D0923" w:rsidP="00714BE4">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Finally, we</w:t>
      </w:r>
      <w:r w:rsidR="00714BE4" w:rsidRPr="00F17126">
        <w:rPr>
          <w:rFonts w:ascii="Times New Roman" w:eastAsia="Calibri" w:hAnsi="Times New Roman" w:cs="Times New Roman"/>
          <w:sz w:val="24"/>
          <w:szCs w:val="24"/>
          <w:lang w:val="en-US"/>
        </w:rPr>
        <w:t xml:space="preserve"> also see significant growth in activities of many non-governmental organizations and transnational networks of cities and othe</w:t>
      </w:r>
      <w:r w:rsidR="007F6A16" w:rsidRPr="00F17126">
        <w:rPr>
          <w:rFonts w:ascii="Times New Roman" w:eastAsia="Calibri" w:hAnsi="Times New Roman" w:cs="Times New Roman"/>
          <w:sz w:val="24"/>
          <w:szCs w:val="24"/>
          <w:lang w:val="en-US"/>
        </w:rPr>
        <w:t>r municipalities in developing “</w:t>
      </w:r>
      <w:r w:rsidR="00714BE4" w:rsidRPr="00F17126">
        <w:rPr>
          <w:rFonts w:ascii="Times New Roman" w:eastAsia="Calibri" w:hAnsi="Times New Roman" w:cs="Times New Roman"/>
          <w:sz w:val="24"/>
          <w:szCs w:val="24"/>
          <w:lang w:val="en-US"/>
        </w:rPr>
        <w:t>private regulations</w:t>
      </w:r>
      <w:r w:rsidR="00023894">
        <w:rPr>
          <w:rFonts w:ascii="Times New Roman" w:eastAsia="Calibri" w:hAnsi="Times New Roman" w:cs="Times New Roman"/>
          <w:sz w:val="24"/>
          <w:szCs w:val="24"/>
          <w:lang w:val="en-US"/>
        </w:rPr>
        <w:t>,</w:t>
      </w:r>
      <w:r w:rsidR="007F6A16" w:rsidRPr="00F17126">
        <w:rPr>
          <w:rFonts w:ascii="Times New Roman" w:eastAsia="Calibri" w:hAnsi="Times New Roman" w:cs="Times New Roman"/>
          <w:sz w:val="24"/>
          <w:szCs w:val="24"/>
          <w:lang w:val="en-US"/>
        </w:rPr>
        <w:t>”</w:t>
      </w:r>
      <w:r w:rsidR="00714BE4" w:rsidRPr="00F17126">
        <w:rPr>
          <w:rFonts w:ascii="Times New Roman" w:eastAsia="Calibri" w:hAnsi="Times New Roman" w:cs="Times New Roman"/>
          <w:sz w:val="24"/>
          <w:szCs w:val="24"/>
          <w:lang w:val="en-US"/>
        </w:rPr>
        <w:t xml:space="preserve"> broadly defined as voluntary stan</w:t>
      </w:r>
      <w:r w:rsidR="00E82444" w:rsidRPr="00F17126">
        <w:rPr>
          <w:rFonts w:ascii="Times New Roman" w:eastAsia="Calibri" w:hAnsi="Times New Roman" w:cs="Times New Roman"/>
          <w:sz w:val="24"/>
          <w:szCs w:val="24"/>
          <w:lang w:val="en-US"/>
        </w:rPr>
        <w:t>dards, rules</w:t>
      </w:r>
      <w:r w:rsidR="00BD0D4C">
        <w:rPr>
          <w:rFonts w:ascii="Times New Roman" w:eastAsia="Calibri" w:hAnsi="Times New Roman" w:cs="Times New Roman"/>
          <w:sz w:val="24"/>
          <w:szCs w:val="24"/>
          <w:lang w:val="en-US"/>
        </w:rPr>
        <w:t>,</w:t>
      </w:r>
      <w:r w:rsidR="00E82444" w:rsidRPr="00F17126">
        <w:rPr>
          <w:rFonts w:ascii="Times New Roman" w:eastAsia="Calibri" w:hAnsi="Times New Roman" w:cs="Times New Roman"/>
          <w:sz w:val="24"/>
          <w:szCs w:val="24"/>
          <w:lang w:val="en-US"/>
        </w:rPr>
        <w:t xml:space="preserve"> and practices (</w:t>
      </w:r>
      <w:bookmarkStart w:id="1" w:name="_Hlk525732464"/>
      <w:r w:rsidR="00E82444" w:rsidRPr="00F17126">
        <w:rPr>
          <w:rFonts w:ascii="Times New Roman" w:eastAsia="Calibri" w:hAnsi="Times New Roman" w:cs="Times New Roman"/>
          <w:sz w:val="24"/>
          <w:szCs w:val="24"/>
          <w:lang w:val="en-US"/>
        </w:rPr>
        <w:t>Auld &amp; Gulbrandsen, 2013</w:t>
      </w:r>
      <w:bookmarkEnd w:id="1"/>
      <w:r w:rsidR="008F7F61">
        <w:rPr>
          <w:rFonts w:ascii="Times New Roman" w:eastAsia="Calibri" w:hAnsi="Times New Roman" w:cs="Times New Roman"/>
          <w:sz w:val="24"/>
          <w:szCs w:val="24"/>
          <w:lang w:val="en-US"/>
        </w:rPr>
        <w:t>, p.</w:t>
      </w:r>
      <w:r w:rsidR="00E82444" w:rsidRPr="00F17126">
        <w:rPr>
          <w:rFonts w:ascii="Times New Roman" w:eastAsia="Calibri" w:hAnsi="Times New Roman" w:cs="Times New Roman"/>
          <w:sz w:val="24"/>
          <w:szCs w:val="24"/>
          <w:lang w:val="en-US"/>
        </w:rPr>
        <w:t xml:space="preserve"> 397)</w:t>
      </w:r>
      <w:r w:rsidR="00714BE4" w:rsidRPr="00F17126">
        <w:rPr>
          <w:rFonts w:ascii="Times New Roman" w:eastAsia="Calibri" w:hAnsi="Times New Roman" w:cs="Times New Roman"/>
          <w:sz w:val="24"/>
          <w:szCs w:val="24"/>
          <w:lang w:val="en-US"/>
        </w:rPr>
        <w:t xml:space="preserve">. Studies assessing </w:t>
      </w:r>
      <w:r w:rsidR="00224F54">
        <w:rPr>
          <w:rFonts w:ascii="Times New Roman" w:eastAsia="Calibri" w:hAnsi="Times New Roman" w:cs="Times New Roman"/>
          <w:sz w:val="24"/>
          <w:szCs w:val="24"/>
          <w:lang w:val="en-US"/>
        </w:rPr>
        <w:t>such regulations’ effectiveness</w:t>
      </w:r>
      <w:r w:rsidR="007A0867" w:rsidRPr="00F17126">
        <w:rPr>
          <w:rFonts w:ascii="Times New Roman" w:eastAsia="Calibri" w:hAnsi="Times New Roman" w:cs="Times New Roman"/>
          <w:sz w:val="24"/>
          <w:szCs w:val="24"/>
          <w:lang w:val="en-US"/>
        </w:rPr>
        <w:t xml:space="preserve"> show mixed </w:t>
      </w:r>
      <w:r w:rsidR="007A0867" w:rsidRPr="007C7E85">
        <w:rPr>
          <w:rFonts w:ascii="Times New Roman" w:eastAsia="Calibri" w:hAnsi="Times New Roman" w:cs="Times New Roman"/>
          <w:sz w:val="24"/>
          <w:szCs w:val="24"/>
          <w:lang w:val="en-US"/>
        </w:rPr>
        <w:t>results (</w:t>
      </w:r>
      <w:r w:rsidR="00970DF7" w:rsidRPr="007C7E85">
        <w:rPr>
          <w:rFonts w:ascii="Times New Roman" w:eastAsia="Calibri" w:hAnsi="Times New Roman" w:cs="Times New Roman"/>
          <w:sz w:val="24"/>
          <w:szCs w:val="24"/>
          <w:lang w:val="en-US"/>
        </w:rPr>
        <w:t>Chan</w:t>
      </w:r>
      <w:r w:rsidR="007C7E85">
        <w:rPr>
          <w:rFonts w:ascii="Times New Roman" w:eastAsia="Calibri" w:hAnsi="Times New Roman" w:cs="Times New Roman"/>
          <w:sz w:val="24"/>
          <w:szCs w:val="24"/>
          <w:lang w:val="en-US"/>
        </w:rPr>
        <w:t xml:space="preserve"> et al, </w:t>
      </w:r>
      <w:r w:rsidR="00970DF7" w:rsidRPr="007C7E85">
        <w:rPr>
          <w:rFonts w:ascii="Times New Roman" w:eastAsia="Calibri" w:hAnsi="Times New Roman" w:cs="Times New Roman"/>
          <w:sz w:val="24"/>
          <w:szCs w:val="24"/>
          <w:lang w:val="en-US"/>
        </w:rPr>
        <w:t>2018</w:t>
      </w:r>
      <w:r w:rsidR="00503950" w:rsidRPr="007C7E85">
        <w:rPr>
          <w:rFonts w:ascii="Times New Roman" w:eastAsia="Calibri" w:hAnsi="Times New Roman" w:cs="Times New Roman"/>
          <w:sz w:val="24"/>
          <w:szCs w:val="24"/>
          <w:lang w:val="en-US"/>
        </w:rPr>
        <w:t>;</w:t>
      </w:r>
      <w:r w:rsidR="00970DF7" w:rsidRPr="00F17126">
        <w:rPr>
          <w:rFonts w:ascii="Times New Roman" w:eastAsia="Calibri" w:hAnsi="Times New Roman" w:cs="Times New Roman"/>
          <w:sz w:val="24"/>
          <w:szCs w:val="24"/>
          <w:lang w:val="en-US"/>
        </w:rPr>
        <w:t xml:space="preserve"> Michaelowa </w:t>
      </w:r>
      <w:r w:rsidR="00503950" w:rsidRPr="00F17126">
        <w:rPr>
          <w:rFonts w:ascii="Times New Roman" w:eastAsia="Calibri" w:hAnsi="Times New Roman" w:cs="Times New Roman"/>
          <w:sz w:val="24"/>
          <w:szCs w:val="24"/>
          <w:lang w:val="en-US"/>
        </w:rPr>
        <w:t>&amp;</w:t>
      </w:r>
      <w:r w:rsidR="00970DF7" w:rsidRPr="00F17126">
        <w:rPr>
          <w:rFonts w:ascii="Times New Roman" w:eastAsia="Calibri" w:hAnsi="Times New Roman" w:cs="Times New Roman"/>
          <w:sz w:val="24"/>
          <w:szCs w:val="24"/>
          <w:lang w:val="en-US"/>
        </w:rPr>
        <w:t xml:space="preserve"> Michaelowa</w:t>
      </w:r>
      <w:r w:rsidR="00503950" w:rsidRPr="00F17126">
        <w:rPr>
          <w:rFonts w:ascii="Times New Roman" w:eastAsia="Calibri" w:hAnsi="Times New Roman" w:cs="Times New Roman"/>
          <w:sz w:val="24"/>
          <w:szCs w:val="24"/>
          <w:lang w:val="en-US"/>
        </w:rPr>
        <w:t>,</w:t>
      </w:r>
      <w:r w:rsidR="00970DF7" w:rsidRPr="00F17126">
        <w:rPr>
          <w:rFonts w:ascii="Times New Roman" w:eastAsia="Calibri" w:hAnsi="Times New Roman" w:cs="Times New Roman"/>
          <w:sz w:val="24"/>
          <w:szCs w:val="24"/>
          <w:lang w:val="en-US"/>
        </w:rPr>
        <w:t xml:space="preserve"> 2014</w:t>
      </w:r>
      <w:r w:rsidR="00503950" w:rsidRPr="00F17126">
        <w:rPr>
          <w:rFonts w:ascii="Times New Roman" w:eastAsia="Calibri" w:hAnsi="Times New Roman" w:cs="Times New Roman"/>
          <w:sz w:val="24"/>
          <w:szCs w:val="24"/>
          <w:lang w:val="en-US"/>
        </w:rPr>
        <w:t>;</w:t>
      </w:r>
      <w:r w:rsidR="00970DF7" w:rsidRPr="00F17126">
        <w:rPr>
          <w:rFonts w:ascii="Times New Roman" w:eastAsia="Calibri" w:hAnsi="Times New Roman" w:cs="Times New Roman"/>
          <w:sz w:val="24"/>
          <w:szCs w:val="24"/>
          <w:lang w:val="en-US"/>
        </w:rPr>
        <w:t xml:space="preserve"> Green 2014</w:t>
      </w:r>
      <w:r w:rsidR="00503950" w:rsidRPr="00F17126">
        <w:rPr>
          <w:rFonts w:ascii="Times New Roman" w:eastAsia="Calibri" w:hAnsi="Times New Roman" w:cs="Times New Roman"/>
          <w:sz w:val="24"/>
          <w:szCs w:val="24"/>
          <w:lang w:val="en-US"/>
        </w:rPr>
        <w:t>;</w:t>
      </w:r>
      <w:r w:rsidR="00970DF7" w:rsidRPr="00F17126">
        <w:rPr>
          <w:rFonts w:ascii="Times New Roman" w:eastAsia="Calibri" w:hAnsi="Times New Roman" w:cs="Times New Roman"/>
          <w:sz w:val="24"/>
          <w:szCs w:val="24"/>
          <w:lang w:val="en-US"/>
        </w:rPr>
        <w:t xml:space="preserve"> Gulbrandsen </w:t>
      </w:r>
      <w:r w:rsidR="00503950" w:rsidRPr="00F17126">
        <w:rPr>
          <w:rFonts w:ascii="Times New Roman" w:eastAsia="Calibri" w:hAnsi="Times New Roman" w:cs="Times New Roman"/>
          <w:sz w:val="24"/>
          <w:szCs w:val="24"/>
          <w:lang w:val="en-US"/>
        </w:rPr>
        <w:t>&amp;</w:t>
      </w:r>
      <w:r w:rsidR="00970DF7" w:rsidRPr="00F17126">
        <w:rPr>
          <w:rFonts w:ascii="Times New Roman" w:eastAsia="Calibri" w:hAnsi="Times New Roman" w:cs="Times New Roman"/>
          <w:sz w:val="24"/>
          <w:szCs w:val="24"/>
          <w:lang w:val="en-US"/>
        </w:rPr>
        <w:t xml:space="preserve"> Auld</w:t>
      </w:r>
      <w:r w:rsidR="00503950" w:rsidRPr="00F17126">
        <w:rPr>
          <w:rFonts w:ascii="Times New Roman" w:eastAsia="Calibri" w:hAnsi="Times New Roman" w:cs="Times New Roman"/>
          <w:sz w:val="24"/>
          <w:szCs w:val="24"/>
          <w:lang w:val="en-US"/>
        </w:rPr>
        <w:t>,</w:t>
      </w:r>
      <w:r w:rsidR="00970DF7" w:rsidRPr="00F17126">
        <w:rPr>
          <w:rFonts w:ascii="Times New Roman" w:eastAsia="Calibri" w:hAnsi="Times New Roman" w:cs="Times New Roman"/>
          <w:sz w:val="24"/>
          <w:szCs w:val="24"/>
          <w:lang w:val="en-US"/>
        </w:rPr>
        <w:t xml:space="preserve"> 2016)</w:t>
      </w:r>
      <w:r w:rsidR="00714BE4" w:rsidRPr="00F17126">
        <w:rPr>
          <w:rFonts w:ascii="Times New Roman" w:eastAsia="Calibri" w:hAnsi="Times New Roman" w:cs="Times New Roman"/>
          <w:sz w:val="24"/>
          <w:szCs w:val="24"/>
          <w:lang w:val="en-US"/>
        </w:rPr>
        <w:t xml:space="preserve">. Most often, it seems schemes </w:t>
      </w:r>
      <w:r w:rsidR="007C25F4">
        <w:rPr>
          <w:rFonts w:ascii="Times New Roman" w:eastAsia="Calibri" w:hAnsi="Times New Roman" w:cs="Times New Roman"/>
          <w:sz w:val="24"/>
          <w:szCs w:val="24"/>
          <w:lang w:val="en-US"/>
        </w:rPr>
        <w:t>certifying</w:t>
      </w:r>
      <w:r w:rsidR="00714BE4" w:rsidRPr="00F17126">
        <w:rPr>
          <w:rFonts w:ascii="Times New Roman" w:eastAsia="Calibri" w:hAnsi="Times New Roman" w:cs="Times New Roman"/>
          <w:sz w:val="24"/>
          <w:szCs w:val="24"/>
          <w:lang w:val="en-US"/>
        </w:rPr>
        <w:t xml:space="preserve"> well-defined (mar</w:t>
      </w:r>
      <w:r w:rsidR="00503950" w:rsidRPr="00F17126">
        <w:rPr>
          <w:rFonts w:ascii="Times New Roman" w:eastAsia="Calibri" w:hAnsi="Times New Roman" w:cs="Times New Roman"/>
          <w:sz w:val="24"/>
          <w:szCs w:val="24"/>
          <w:lang w:val="en-US"/>
        </w:rPr>
        <w:t>ket) performance standards and</w:t>
      </w:r>
      <w:r w:rsidR="007C25F4">
        <w:rPr>
          <w:rFonts w:ascii="Times New Roman" w:eastAsia="Calibri" w:hAnsi="Times New Roman" w:cs="Times New Roman"/>
          <w:sz w:val="24"/>
          <w:szCs w:val="24"/>
          <w:lang w:val="en-US"/>
        </w:rPr>
        <w:t xml:space="preserve"> involving</w:t>
      </w:r>
      <w:r w:rsidR="00503950" w:rsidRPr="00F17126">
        <w:rPr>
          <w:rFonts w:ascii="Times New Roman" w:eastAsia="Calibri" w:hAnsi="Times New Roman" w:cs="Times New Roman"/>
          <w:sz w:val="24"/>
          <w:szCs w:val="24"/>
          <w:lang w:val="en-US"/>
        </w:rPr>
        <w:t xml:space="preserve"> “</w:t>
      </w:r>
      <w:r w:rsidR="00714BE4" w:rsidRPr="00F17126">
        <w:rPr>
          <w:rFonts w:ascii="Times New Roman" w:eastAsia="Calibri" w:hAnsi="Times New Roman" w:cs="Times New Roman"/>
          <w:sz w:val="24"/>
          <w:szCs w:val="24"/>
          <w:lang w:val="en-US"/>
        </w:rPr>
        <w:t>synergy with government regulations</w:t>
      </w:r>
      <w:r w:rsidR="00503950" w:rsidRPr="00F17126">
        <w:rPr>
          <w:rFonts w:ascii="Times New Roman" w:eastAsia="Calibri" w:hAnsi="Times New Roman" w:cs="Times New Roman"/>
          <w:sz w:val="24"/>
          <w:szCs w:val="24"/>
          <w:lang w:val="en-US"/>
        </w:rPr>
        <w:t>”</w:t>
      </w:r>
      <w:r w:rsidR="00714BE4" w:rsidRPr="00F17126">
        <w:rPr>
          <w:rFonts w:ascii="Times New Roman" w:eastAsia="Calibri" w:hAnsi="Times New Roman" w:cs="Times New Roman"/>
          <w:sz w:val="24"/>
          <w:szCs w:val="24"/>
          <w:lang w:val="en-US"/>
        </w:rPr>
        <w:t xml:space="preserve"> (Green</w:t>
      </w:r>
      <w:r w:rsidR="00503950" w:rsidRPr="00F17126">
        <w:rPr>
          <w:rFonts w:ascii="Times New Roman" w:eastAsia="Calibri" w:hAnsi="Times New Roman" w:cs="Times New Roman"/>
          <w:sz w:val="24"/>
          <w:szCs w:val="24"/>
          <w:lang w:val="en-US"/>
        </w:rPr>
        <w:t>,</w:t>
      </w:r>
      <w:r w:rsidR="00714BE4" w:rsidRPr="00F17126">
        <w:rPr>
          <w:rFonts w:ascii="Times New Roman" w:eastAsia="Calibri" w:hAnsi="Times New Roman" w:cs="Times New Roman"/>
          <w:sz w:val="24"/>
          <w:szCs w:val="24"/>
          <w:lang w:val="en-US"/>
        </w:rPr>
        <w:t xml:space="preserve"> 2013</w:t>
      </w:r>
      <w:r w:rsidR="008F7F61">
        <w:rPr>
          <w:rFonts w:ascii="Times New Roman" w:eastAsia="Calibri" w:hAnsi="Times New Roman" w:cs="Times New Roman"/>
          <w:sz w:val="24"/>
          <w:szCs w:val="24"/>
          <w:lang w:val="en-US"/>
        </w:rPr>
        <w:t>, p.</w:t>
      </w:r>
      <w:r w:rsidR="00503950" w:rsidRPr="00F17126">
        <w:rPr>
          <w:rFonts w:ascii="Times New Roman" w:eastAsia="Calibri" w:hAnsi="Times New Roman" w:cs="Times New Roman"/>
          <w:sz w:val="24"/>
          <w:szCs w:val="24"/>
          <w:lang w:val="en-US"/>
        </w:rPr>
        <w:t xml:space="preserve"> </w:t>
      </w:r>
      <w:r w:rsidR="00714BE4" w:rsidRPr="00F17126">
        <w:rPr>
          <w:rFonts w:ascii="Times New Roman" w:eastAsia="Calibri" w:hAnsi="Times New Roman" w:cs="Times New Roman"/>
          <w:sz w:val="24"/>
          <w:szCs w:val="24"/>
          <w:lang w:val="en-US"/>
        </w:rPr>
        <w:t xml:space="preserve">2) obtain higher scores than do more diffuse and often less consequential declarations of intent. </w:t>
      </w:r>
    </w:p>
    <w:p w14:paraId="56BE8617" w14:textId="77777777" w:rsidR="00714BE4" w:rsidRPr="00F17126" w:rsidRDefault="00714BE4" w:rsidP="009C477E">
      <w:pPr>
        <w:spacing w:after="120" w:line="360" w:lineRule="auto"/>
        <w:rPr>
          <w:rFonts w:ascii="Times New Roman" w:eastAsia="Calibri" w:hAnsi="Times New Roman" w:cs="Times New Roman"/>
          <w:sz w:val="24"/>
          <w:szCs w:val="24"/>
          <w:lang w:val="en-US"/>
        </w:rPr>
      </w:pPr>
    </w:p>
    <w:p w14:paraId="662B073B" w14:textId="77777777" w:rsidR="000115C7" w:rsidRPr="00F17126" w:rsidRDefault="00590D22" w:rsidP="009C477E">
      <w:pPr>
        <w:keepNext/>
        <w:keepLines/>
        <w:spacing w:after="120" w:line="360" w:lineRule="auto"/>
        <w:outlineLvl w:val="0"/>
        <w:rPr>
          <w:rFonts w:ascii="Times New Roman" w:eastAsia="Times New Roman" w:hAnsi="Times New Roman" w:cs="Times New Roman"/>
          <w:sz w:val="24"/>
          <w:szCs w:val="24"/>
          <w:lang w:val="en-US"/>
        </w:rPr>
      </w:pPr>
      <w:r w:rsidRPr="00F17126">
        <w:rPr>
          <w:rFonts w:ascii="Times New Roman" w:eastAsia="Calibri" w:hAnsi="Times New Roman" w:cs="Times New Roman"/>
          <w:sz w:val="24"/>
          <w:szCs w:val="24"/>
          <w:lang w:val="en-US"/>
        </w:rPr>
        <w:t>5</w:t>
      </w:r>
      <w:r w:rsidR="000115C7" w:rsidRPr="00F17126">
        <w:rPr>
          <w:rFonts w:ascii="Times New Roman" w:eastAsia="Times New Roman" w:hAnsi="Times New Roman" w:cs="Times New Roman"/>
          <w:b/>
          <w:sz w:val="24"/>
          <w:szCs w:val="24"/>
          <w:lang w:val="en-US"/>
        </w:rPr>
        <w:t>. Ambition and progression over time</w:t>
      </w:r>
    </w:p>
    <w:p w14:paraId="1BC14B56" w14:textId="5C7BF031"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Three elements of the </w:t>
      </w:r>
      <w:r w:rsidR="00820E8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are particularly relevant for assessing its ambition level: </w:t>
      </w:r>
      <w:r w:rsidR="00DC3CB9" w:rsidRPr="00F17126">
        <w:rPr>
          <w:rFonts w:ascii="Times New Roman" w:eastAsia="Calibri" w:hAnsi="Times New Roman" w:cs="Times New Roman"/>
          <w:sz w:val="24"/>
          <w:szCs w:val="24"/>
          <w:lang w:val="en-US"/>
        </w:rPr>
        <w:t xml:space="preserve">global </w:t>
      </w:r>
      <w:r w:rsidRPr="00F17126">
        <w:rPr>
          <w:rFonts w:ascii="Times New Roman" w:eastAsia="Calibri" w:hAnsi="Times New Roman" w:cs="Times New Roman"/>
          <w:sz w:val="24"/>
          <w:szCs w:val="24"/>
          <w:lang w:val="en-US"/>
        </w:rPr>
        <w:t xml:space="preserve">goals, current NDCs, and the framework of obligations and expectations for future NDCs. Studies quickly established that current NDCs are </w:t>
      </w:r>
      <w:r w:rsidR="003F6135" w:rsidRPr="00F17126">
        <w:rPr>
          <w:rFonts w:ascii="Times New Roman" w:eastAsia="Calibri" w:hAnsi="Times New Roman" w:cs="Times New Roman"/>
          <w:sz w:val="24"/>
          <w:szCs w:val="24"/>
          <w:lang w:val="en-US"/>
        </w:rPr>
        <w:t>in</w:t>
      </w:r>
      <w:r w:rsidRPr="00F17126">
        <w:rPr>
          <w:rFonts w:ascii="Times New Roman" w:eastAsia="Calibri" w:hAnsi="Times New Roman" w:cs="Times New Roman"/>
          <w:sz w:val="24"/>
          <w:szCs w:val="24"/>
          <w:lang w:val="en-US"/>
        </w:rPr>
        <w:t xml:space="preserve">sufficiently ambitious to be consistent with common </w:t>
      </w:r>
      <w:r w:rsidR="003F6135" w:rsidRPr="00F17126">
        <w:rPr>
          <w:rFonts w:ascii="Times New Roman" w:eastAsia="Calibri" w:hAnsi="Times New Roman" w:cs="Times New Roman"/>
          <w:sz w:val="24"/>
          <w:szCs w:val="24"/>
          <w:lang w:val="en-US"/>
        </w:rPr>
        <w:t xml:space="preserve">temperature </w:t>
      </w:r>
      <w:r w:rsidRPr="00F17126">
        <w:rPr>
          <w:rFonts w:ascii="Times New Roman" w:eastAsia="Calibri" w:hAnsi="Times New Roman" w:cs="Times New Roman"/>
          <w:sz w:val="24"/>
          <w:szCs w:val="24"/>
          <w:lang w:val="en-US"/>
        </w:rPr>
        <w:t xml:space="preserve">goals. Therefore, whether the </w:t>
      </w:r>
      <w:r w:rsidR="003F613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will be effective in achieving its mitigation goal depends on whether the third element will facilitate a progression of ambition over time.</w:t>
      </w:r>
    </w:p>
    <w:p w14:paraId="6173E11B" w14:textId="2B8411AD" w:rsidR="000115C7" w:rsidRPr="00F17126" w:rsidRDefault="004F0B10" w:rsidP="009C477E">
      <w:pPr>
        <w:keepNext/>
        <w:keepLines/>
        <w:spacing w:after="120" w:line="360" w:lineRule="auto"/>
        <w:outlineLvl w:val="1"/>
        <w:rPr>
          <w:rFonts w:ascii="Times New Roman" w:eastAsia="Times New Roman" w:hAnsi="Times New Roman" w:cs="Times New Roman"/>
          <w:i/>
          <w:color w:val="2E74B5"/>
          <w:sz w:val="24"/>
          <w:szCs w:val="24"/>
          <w:lang w:val="en-US"/>
        </w:rPr>
      </w:pPr>
      <w:r w:rsidRPr="00F17126">
        <w:rPr>
          <w:rFonts w:ascii="Times New Roman" w:eastAsia="Times New Roman" w:hAnsi="Times New Roman" w:cs="Times New Roman"/>
          <w:i/>
          <w:sz w:val="24"/>
          <w:szCs w:val="24"/>
          <w:lang w:val="en-US"/>
        </w:rPr>
        <w:lastRenderedPageBreak/>
        <w:t xml:space="preserve">5.1 </w:t>
      </w:r>
      <w:r w:rsidR="00DC3CB9" w:rsidRPr="00F17126">
        <w:rPr>
          <w:rFonts w:ascii="Times New Roman" w:eastAsia="Times New Roman" w:hAnsi="Times New Roman" w:cs="Times New Roman"/>
          <w:i/>
          <w:sz w:val="24"/>
          <w:szCs w:val="24"/>
          <w:lang w:val="en-US"/>
        </w:rPr>
        <w:t xml:space="preserve">Global </w:t>
      </w:r>
      <w:r w:rsidR="000115C7" w:rsidRPr="00F17126">
        <w:rPr>
          <w:rFonts w:ascii="Times New Roman" w:eastAsia="Times New Roman" w:hAnsi="Times New Roman" w:cs="Times New Roman"/>
          <w:i/>
          <w:sz w:val="24"/>
          <w:szCs w:val="24"/>
          <w:lang w:val="en-US"/>
        </w:rPr>
        <w:t>goals</w:t>
      </w:r>
    </w:p>
    <w:p w14:paraId="358FB1DC" w14:textId="4B957B1F"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The goal to limit warming “to well below 2</w:t>
      </w:r>
      <w:r w:rsidRPr="00F17126">
        <w:rPr>
          <w:rFonts w:ascii="Times New Roman" w:eastAsia="Times New Roman" w:hAnsi="Times New Roman" w:cs="Times New Roman"/>
          <w:sz w:val="24"/>
          <w:szCs w:val="24"/>
          <w:lang w:val="en-US" w:eastAsia="zh-CN"/>
        </w:rPr>
        <w:t xml:space="preserve">° </w:t>
      </w:r>
      <w:r w:rsidRPr="00F17126">
        <w:rPr>
          <w:rFonts w:ascii="Times New Roman" w:eastAsia="Calibri" w:hAnsi="Times New Roman" w:cs="Times New Roman"/>
          <w:sz w:val="24"/>
          <w:szCs w:val="24"/>
          <w:lang w:val="en-US"/>
        </w:rPr>
        <w:t>C above pre-industrial levels and to pursue efforts to limit the temperature increase to 1.5</w:t>
      </w:r>
      <w:r w:rsidRPr="00F17126">
        <w:rPr>
          <w:rFonts w:ascii="Times New Roman" w:eastAsia="Times New Roman" w:hAnsi="Times New Roman" w:cs="Times New Roman"/>
          <w:sz w:val="24"/>
          <w:szCs w:val="24"/>
          <w:lang w:val="en-US" w:eastAsia="zh-CN"/>
        </w:rPr>
        <w:t>°</w:t>
      </w:r>
      <w:r w:rsidRPr="00F17126">
        <w:rPr>
          <w:rFonts w:ascii="Times New Roman" w:eastAsia="Calibri" w:hAnsi="Times New Roman" w:cs="Times New Roman"/>
          <w:sz w:val="24"/>
          <w:szCs w:val="24"/>
          <w:lang w:val="en-US"/>
        </w:rPr>
        <w:t xml:space="preserve"> C” has been called the </w:t>
      </w:r>
      <w:r w:rsidR="003F6135" w:rsidRPr="00F17126">
        <w:rPr>
          <w:rFonts w:ascii="Times New Roman" w:eastAsia="Calibri" w:hAnsi="Times New Roman" w:cs="Times New Roman"/>
          <w:sz w:val="24"/>
          <w:szCs w:val="24"/>
          <w:lang w:val="en-US"/>
        </w:rPr>
        <w:t>PA</w:t>
      </w:r>
      <w:r w:rsidR="00E87AFA">
        <w:rPr>
          <w:rFonts w:ascii="Times New Roman" w:eastAsia="Calibri" w:hAnsi="Times New Roman" w:cs="Times New Roman"/>
          <w:sz w:val="24"/>
          <w:szCs w:val="24"/>
          <w:lang w:val="en-US"/>
        </w:rPr>
        <w:t>’s centerpiece</w:t>
      </w:r>
      <w:r w:rsidRPr="00F17126">
        <w:rPr>
          <w:rFonts w:ascii="Times New Roman" w:eastAsia="Calibri" w:hAnsi="Times New Roman" w:cs="Times New Roman"/>
          <w:sz w:val="24"/>
          <w:szCs w:val="24"/>
          <w:lang w:val="en-US"/>
        </w:rPr>
        <w:t xml:space="preserve"> (Rajamani </w:t>
      </w:r>
      <w:r w:rsidR="00503950" w:rsidRPr="00F17126">
        <w:rPr>
          <w:rFonts w:ascii="Times New Roman" w:eastAsia="Calibri" w:hAnsi="Times New Roman" w:cs="Times New Roman"/>
          <w:sz w:val="24"/>
          <w:szCs w:val="24"/>
          <w:lang w:val="en-US"/>
        </w:rPr>
        <w:t>&amp;</w:t>
      </w:r>
      <w:r w:rsidRPr="00F17126">
        <w:rPr>
          <w:rFonts w:ascii="Times New Roman" w:eastAsia="Calibri" w:hAnsi="Times New Roman" w:cs="Times New Roman"/>
          <w:sz w:val="24"/>
          <w:szCs w:val="24"/>
          <w:lang w:val="en-US"/>
        </w:rPr>
        <w:t xml:space="preserve"> Guerin, 2017). The reference to 1.5</w:t>
      </w:r>
      <w:r w:rsidRPr="00F17126">
        <w:rPr>
          <w:rFonts w:ascii="Times New Roman" w:eastAsia="Times New Roman" w:hAnsi="Times New Roman" w:cs="Times New Roman"/>
          <w:sz w:val="24"/>
          <w:szCs w:val="24"/>
          <w:lang w:val="en-US" w:eastAsia="zh-CN"/>
        </w:rPr>
        <w:t>°</w:t>
      </w:r>
      <w:r w:rsidRPr="00F17126">
        <w:rPr>
          <w:rFonts w:ascii="Times New Roman" w:eastAsia="Calibri" w:hAnsi="Times New Roman" w:cs="Times New Roman"/>
          <w:sz w:val="24"/>
          <w:szCs w:val="24"/>
          <w:lang w:val="en-US"/>
        </w:rPr>
        <w:t xml:space="preserve"> C was championed b</w:t>
      </w:r>
      <w:r w:rsidR="003F6135" w:rsidRPr="00F17126">
        <w:rPr>
          <w:rFonts w:ascii="Times New Roman" w:eastAsia="Calibri" w:hAnsi="Times New Roman" w:cs="Times New Roman"/>
          <w:sz w:val="24"/>
          <w:szCs w:val="24"/>
          <w:lang w:val="en-US"/>
        </w:rPr>
        <w:t>y the most vulnerable countries</w:t>
      </w:r>
      <w:r w:rsidRPr="00F17126">
        <w:rPr>
          <w:rFonts w:ascii="Times New Roman" w:eastAsia="Calibri" w:hAnsi="Times New Roman" w:cs="Times New Roman"/>
          <w:sz w:val="24"/>
          <w:szCs w:val="24"/>
          <w:lang w:val="en-US"/>
        </w:rPr>
        <w:t xml:space="preserve"> and achieved through </w:t>
      </w:r>
      <w:r w:rsidR="00777C40">
        <w:rPr>
          <w:rFonts w:ascii="Times New Roman" w:eastAsia="Calibri" w:hAnsi="Times New Roman" w:cs="Times New Roman"/>
          <w:sz w:val="24"/>
          <w:szCs w:val="24"/>
          <w:lang w:val="en-US"/>
        </w:rPr>
        <w:t>negotiating</w:t>
      </w:r>
      <w:r w:rsidRPr="00F17126">
        <w:rPr>
          <w:rFonts w:ascii="Times New Roman" w:eastAsia="Calibri" w:hAnsi="Times New Roman" w:cs="Times New Roman"/>
          <w:sz w:val="24"/>
          <w:szCs w:val="24"/>
          <w:lang w:val="en-US"/>
        </w:rPr>
        <w:t xml:space="preserve"> with OECD countries (Brun, 2016) and the Arab Group (Rajamani </w:t>
      </w:r>
      <w:r w:rsidR="00503950" w:rsidRPr="00F17126">
        <w:rPr>
          <w:rFonts w:ascii="Times New Roman" w:eastAsia="Calibri" w:hAnsi="Times New Roman" w:cs="Times New Roman"/>
          <w:sz w:val="24"/>
          <w:szCs w:val="24"/>
          <w:lang w:val="en-US"/>
        </w:rPr>
        <w:t>&amp;</w:t>
      </w:r>
      <w:r w:rsidRPr="00F17126">
        <w:rPr>
          <w:rFonts w:ascii="Times New Roman" w:eastAsia="Calibri" w:hAnsi="Times New Roman" w:cs="Times New Roman"/>
          <w:sz w:val="24"/>
          <w:szCs w:val="24"/>
          <w:lang w:val="en-US"/>
        </w:rPr>
        <w:t xml:space="preserve"> Guerin, 2017). Scholars have questioned not whether these limits are ambitious, but whether they are achievable (Allen et al</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2017; Goodwin et al</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2017; Raftery et al</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2017). “Even a realistic crash course program to cut emissions will blow through 2 degrees; 1.5 degrees is ridiculous” (Victor, 2016).</w:t>
      </w:r>
    </w:p>
    <w:p w14:paraId="64A711B9" w14:textId="0A01D096" w:rsidR="000115C7" w:rsidRPr="00F17126" w:rsidRDefault="004F0B10" w:rsidP="009C477E">
      <w:pPr>
        <w:keepNext/>
        <w:keepLines/>
        <w:spacing w:after="120" w:line="360" w:lineRule="auto"/>
        <w:outlineLvl w:val="1"/>
        <w:rPr>
          <w:rFonts w:ascii="Times New Roman" w:eastAsia="Times New Roman" w:hAnsi="Times New Roman" w:cs="Times New Roman"/>
          <w:i/>
          <w:color w:val="2E74B5"/>
          <w:sz w:val="24"/>
          <w:szCs w:val="24"/>
          <w:lang w:val="en-US"/>
        </w:rPr>
      </w:pPr>
      <w:r w:rsidRPr="00F17126">
        <w:rPr>
          <w:rFonts w:ascii="Times New Roman" w:eastAsia="Times New Roman" w:hAnsi="Times New Roman" w:cs="Times New Roman"/>
          <w:i/>
          <w:sz w:val="24"/>
          <w:szCs w:val="24"/>
          <w:lang w:val="en-US"/>
        </w:rPr>
        <w:t xml:space="preserve">5.2 </w:t>
      </w:r>
      <w:r w:rsidR="000115C7" w:rsidRPr="00F17126">
        <w:rPr>
          <w:rFonts w:ascii="Times New Roman" w:eastAsia="Times New Roman" w:hAnsi="Times New Roman" w:cs="Times New Roman"/>
          <w:i/>
          <w:sz w:val="24"/>
          <w:szCs w:val="24"/>
          <w:lang w:val="en-US"/>
        </w:rPr>
        <w:t>National targets</w:t>
      </w:r>
    </w:p>
    <w:p w14:paraId="785FC703" w14:textId="15D1E796" w:rsidR="000115C7" w:rsidRPr="00F17126" w:rsidRDefault="000115C7" w:rsidP="009C477E">
      <w:pPr>
        <w:spacing w:after="120" w:line="360" w:lineRule="auto"/>
        <w:rPr>
          <w:rFonts w:ascii="Times New Roman" w:eastAsia="Times New Roman" w:hAnsi="Times New Roman" w:cs="Times New Roman"/>
          <w:sz w:val="24"/>
          <w:szCs w:val="24"/>
          <w:lang w:val="en-US" w:eastAsia="zh-CN"/>
        </w:rPr>
      </w:pPr>
      <w:r w:rsidRPr="00F17126">
        <w:rPr>
          <w:rFonts w:ascii="Times New Roman" w:eastAsia="Calibri" w:hAnsi="Times New Roman" w:cs="Times New Roman"/>
          <w:sz w:val="24"/>
          <w:szCs w:val="24"/>
          <w:lang w:val="en-US"/>
        </w:rPr>
        <w:t xml:space="preserve">A report by the UNFCCC secretariat </w:t>
      </w:r>
      <w:r w:rsidR="008A7571">
        <w:rPr>
          <w:rFonts w:ascii="Times New Roman" w:eastAsia="Calibri" w:hAnsi="Times New Roman" w:cs="Times New Roman"/>
          <w:sz w:val="24"/>
          <w:szCs w:val="24"/>
          <w:lang w:val="en-US"/>
        </w:rPr>
        <w:t>determined</w:t>
      </w:r>
      <w:r w:rsidR="008A7571"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already prior to COP21 that submitted NDCs failed to put emissions on a path consistent with limiting warming to </w:t>
      </w:r>
      <w:r w:rsidRPr="00F17126">
        <w:rPr>
          <w:rFonts w:ascii="Times New Roman" w:eastAsia="Times New Roman" w:hAnsi="Times New Roman" w:cs="Times New Roman"/>
          <w:sz w:val="24"/>
          <w:szCs w:val="24"/>
          <w:lang w:val="en-US" w:eastAsia="zh-CN"/>
        </w:rPr>
        <w:t>2°</w:t>
      </w:r>
      <w:r w:rsidR="003626F3"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C (UNFCCC, 2015), a conclusion since confirmed by others (e.g., Fawcett et al</w:t>
      </w:r>
      <w:r w:rsidR="00E21EA4">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2015; Rogelj et al</w:t>
      </w:r>
      <w:r w:rsidR="00E21EA4">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2016</w:t>
      </w:r>
      <w:r w:rsidR="008F7F61">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xml:space="preserve"> Höhne et al</w:t>
      </w:r>
      <w:r w:rsidR="00E21EA4">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xml:space="preserve">, 2017). </w:t>
      </w:r>
      <w:r w:rsidR="00E87AFA">
        <w:rPr>
          <w:rFonts w:ascii="Times New Roman" w:eastAsia="Times New Roman" w:hAnsi="Times New Roman" w:cs="Times New Roman"/>
          <w:sz w:val="24"/>
          <w:szCs w:val="24"/>
          <w:lang w:val="en-US" w:eastAsia="zh-CN"/>
        </w:rPr>
        <w:t>Per</w:t>
      </w:r>
      <w:r w:rsidRPr="00F17126">
        <w:rPr>
          <w:rFonts w:ascii="Times New Roman" w:eastAsia="Times New Roman" w:hAnsi="Times New Roman" w:cs="Times New Roman"/>
          <w:sz w:val="24"/>
          <w:szCs w:val="24"/>
          <w:lang w:val="en-US" w:eastAsia="zh-CN"/>
        </w:rPr>
        <w:t xml:space="preserve"> Keohane </w:t>
      </w:r>
      <w:r w:rsidR="008F7F61">
        <w:rPr>
          <w:rFonts w:ascii="Times New Roman" w:eastAsia="Times New Roman" w:hAnsi="Times New Roman" w:cs="Times New Roman"/>
          <w:sz w:val="24"/>
          <w:szCs w:val="24"/>
          <w:lang w:val="en-US" w:eastAsia="zh-CN"/>
        </w:rPr>
        <w:t>and</w:t>
      </w:r>
      <w:r w:rsidRPr="00F17126">
        <w:rPr>
          <w:rFonts w:ascii="Times New Roman" w:eastAsia="Times New Roman" w:hAnsi="Times New Roman" w:cs="Times New Roman"/>
          <w:sz w:val="24"/>
          <w:szCs w:val="24"/>
          <w:lang w:val="en-US" w:eastAsia="zh-CN"/>
        </w:rPr>
        <w:t xml:space="preserve"> Victor (2016), current NDCs constitute </w:t>
      </w:r>
      <w:r w:rsidR="00422286" w:rsidRPr="00F17126">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shallow coordination</w:t>
      </w:r>
      <w:r w:rsidR="00333DF7" w:rsidRPr="00F17126">
        <w:rPr>
          <w:rFonts w:ascii="Times New Roman" w:eastAsia="Times New Roman" w:hAnsi="Times New Roman" w:cs="Times New Roman"/>
          <w:sz w:val="24"/>
          <w:szCs w:val="24"/>
          <w:lang w:val="en-US" w:eastAsia="zh-CN"/>
        </w:rPr>
        <w:t>”</w:t>
      </w:r>
      <w:r w:rsidR="003F6135"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 xml:space="preserve"> not negligible </w:t>
      </w:r>
      <w:r w:rsidR="00BB3DB0" w:rsidRPr="00F17126">
        <w:rPr>
          <w:rFonts w:ascii="Times New Roman" w:eastAsia="Times New Roman" w:hAnsi="Times New Roman" w:cs="Times New Roman"/>
          <w:sz w:val="24"/>
          <w:szCs w:val="24"/>
          <w:lang w:val="en-US" w:eastAsia="zh-CN"/>
        </w:rPr>
        <w:t>ye</w:t>
      </w:r>
      <w:r w:rsidRPr="00F17126">
        <w:rPr>
          <w:rFonts w:ascii="Times New Roman" w:eastAsia="Times New Roman" w:hAnsi="Times New Roman" w:cs="Times New Roman"/>
          <w:sz w:val="24"/>
          <w:szCs w:val="24"/>
          <w:lang w:val="en-US" w:eastAsia="zh-CN"/>
        </w:rPr>
        <w:t xml:space="preserve">t not nearly ambitious enough. The discrepancy between temperature goals and NDCs highlights that the central challenge of the national determination approach is </w:t>
      </w:r>
      <w:r w:rsidR="00BD0D4C">
        <w:rPr>
          <w:rFonts w:ascii="Times New Roman" w:eastAsia="Times New Roman" w:hAnsi="Times New Roman" w:cs="Times New Roman"/>
          <w:sz w:val="24"/>
          <w:szCs w:val="24"/>
          <w:lang w:val="en-US" w:eastAsia="zh-CN"/>
        </w:rPr>
        <w:t>to generate</w:t>
      </w:r>
      <w:r w:rsidR="00BD0D4C"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the ambition level needed (Friedr</w:t>
      </w:r>
      <w:r w:rsidR="003F6135" w:rsidRPr="00F17126">
        <w:rPr>
          <w:rFonts w:ascii="Times New Roman" w:eastAsia="Times New Roman" w:hAnsi="Times New Roman" w:cs="Times New Roman"/>
          <w:sz w:val="24"/>
          <w:szCs w:val="24"/>
          <w:lang w:val="en-US" w:eastAsia="zh-CN"/>
        </w:rPr>
        <w:t xml:space="preserve">ich, 2017). </w:t>
      </w:r>
      <w:r w:rsidR="00777C40">
        <w:rPr>
          <w:rFonts w:ascii="Times New Roman" w:eastAsia="Times New Roman" w:hAnsi="Times New Roman" w:cs="Times New Roman"/>
          <w:sz w:val="24"/>
          <w:szCs w:val="24"/>
          <w:lang w:val="en-US" w:eastAsia="zh-CN"/>
        </w:rPr>
        <w:t>W</w:t>
      </w:r>
      <w:r w:rsidR="00BD0D4C">
        <w:rPr>
          <w:rFonts w:ascii="Times New Roman" w:eastAsia="Times New Roman" w:hAnsi="Times New Roman" w:cs="Times New Roman"/>
          <w:sz w:val="24"/>
          <w:szCs w:val="24"/>
          <w:lang w:val="en-US" w:eastAsia="zh-CN"/>
        </w:rPr>
        <w:t xml:space="preserve">e </w:t>
      </w:r>
      <w:r w:rsidR="00777C40">
        <w:rPr>
          <w:rFonts w:ascii="Times New Roman" w:eastAsia="Times New Roman" w:hAnsi="Times New Roman" w:cs="Times New Roman"/>
          <w:sz w:val="24"/>
          <w:szCs w:val="24"/>
          <w:lang w:val="en-US" w:eastAsia="zh-CN"/>
        </w:rPr>
        <w:t xml:space="preserve">now </w:t>
      </w:r>
      <w:r w:rsidR="00BD0D4C">
        <w:rPr>
          <w:rFonts w:ascii="Times New Roman" w:eastAsia="Times New Roman" w:hAnsi="Times New Roman" w:cs="Times New Roman"/>
          <w:sz w:val="24"/>
          <w:szCs w:val="24"/>
          <w:lang w:val="en-US" w:eastAsia="zh-CN"/>
        </w:rPr>
        <w:t>assess</w:t>
      </w:r>
      <w:r w:rsidR="00BD0D4C"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 xml:space="preserve">how the </w:t>
      </w:r>
      <w:r w:rsidR="00BB3DB0" w:rsidRPr="00F17126">
        <w:rPr>
          <w:rFonts w:ascii="Times New Roman" w:eastAsia="Times New Roman" w:hAnsi="Times New Roman" w:cs="Times New Roman"/>
          <w:sz w:val="24"/>
          <w:szCs w:val="24"/>
          <w:lang w:val="en-US" w:eastAsia="zh-CN"/>
        </w:rPr>
        <w:t>PA</w:t>
      </w:r>
      <w:r w:rsidRPr="00F17126">
        <w:rPr>
          <w:rFonts w:ascii="Times New Roman" w:eastAsia="Times New Roman" w:hAnsi="Times New Roman" w:cs="Times New Roman"/>
          <w:sz w:val="24"/>
          <w:szCs w:val="24"/>
          <w:lang w:val="en-US" w:eastAsia="zh-CN"/>
        </w:rPr>
        <w:t xml:space="preserve"> addresses th</w:t>
      </w:r>
      <w:r w:rsidR="00BB3DB0" w:rsidRPr="00F17126">
        <w:rPr>
          <w:rFonts w:ascii="Times New Roman" w:eastAsia="Times New Roman" w:hAnsi="Times New Roman" w:cs="Times New Roman"/>
          <w:sz w:val="24"/>
          <w:szCs w:val="24"/>
          <w:lang w:val="en-US" w:eastAsia="zh-CN"/>
        </w:rPr>
        <w:t>is</w:t>
      </w:r>
      <w:r w:rsidRPr="00F17126">
        <w:rPr>
          <w:rFonts w:ascii="Times New Roman" w:eastAsia="Times New Roman" w:hAnsi="Times New Roman" w:cs="Times New Roman"/>
          <w:sz w:val="24"/>
          <w:szCs w:val="24"/>
          <w:lang w:val="en-US" w:eastAsia="zh-CN"/>
        </w:rPr>
        <w:t xml:space="preserve"> challenge.</w:t>
      </w:r>
    </w:p>
    <w:p w14:paraId="0D62B202" w14:textId="4E0A29A0" w:rsidR="000115C7" w:rsidRPr="00F17126" w:rsidRDefault="004F0B10" w:rsidP="009C477E">
      <w:pPr>
        <w:keepNext/>
        <w:keepLines/>
        <w:spacing w:after="120" w:line="360" w:lineRule="auto"/>
        <w:outlineLvl w:val="1"/>
        <w:rPr>
          <w:rFonts w:ascii="Times New Roman" w:eastAsia="Times New Roman" w:hAnsi="Times New Roman" w:cs="Times New Roman"/>
          <w:i/>
          <w:color w:val="2E74B5"/>
          <w:sz w:val="24"/>
          <w:szCs w:val="24"/>
          <w:lang w:val="en-US" w:eastAsia="zh-CN"/>
        </w:rPr>
      </w:pPr>
      <w:r w:rsidRPr="00F17126">
        <w:rPr>
          <w:rFonts w:ascii="Times New Roman" w:eastAsia="Times New Roman" w:hAnsi="Times New Roman" w:cs="Times New Roman"/>
          <w:i/>
          <w:sz w:val="24"/>
          <w:szCs w:val="24"/>
          <w:lang w:val="en-US" w:eastAsia="zh-CN"/>
        </w:rPr>
        <w:t xml:space="preserve">5.3 </w:t>
      </w:r>
      <w:r w:rsidR="000115C7" w:rsidRPr="00F17126">
        <w:rPr>
          <w:rFonts w:ascii="Times New Roman" w:eastAsia="Times New Roman" w:hAnsi="Times New Roman" w:cs="Times New Roman"/>
          <w:i/>
          <w:sz w:val="24"/>
          <w:szCs w:val="24"/>
          <w:lang w:val="en-US" w:eastAsia="zh-CN"/>
        </w:rPr>
        <w:t>A novel approach to fostering ambition</w:t>
      </w:r>
    </w:p>
    <w:p w14:paraId="1E53AA34" w14:textId="4E15B02A" w:rsidR="000115C7" w:rsidRPr="00F17126" w:rsidRDefault="000115C7" w:rsidP="009C477E">
      <w:pPr>
        <w:spacing w:after="120" w:line="360" w:lineRule="auto"/>
        <w:rPr>
          <w:rFonts w:ascii="Times New Roman" w:eastAsia="Times New Roman" w:hAnsi="Times New Roman" w:cs="Times New Roman"/>
          <w:sz w:val="24"/>
          <w:szCs w:val="24"/>
          <w:lang w:val="en-US" w:eastAsia="zh-CN"/>
        </w:rPr>
      </w:pPr>
      <w:r w:rsidRPr="00F17126">
        <w:rPr>
          <w:rFonts w:ascii="Times New Roman" w:eastAsia="Times New Roman" w:hAnsi="Times New Roman" w:cs="Times New Roman"/>
          <w:sz w:val="24"/>
          <w:szCs w:val="24"/>
          <w:lang w:val="en-US" w:eastAsia="zh-CN"/>
        </w:rPr>
        <w:t xml:space="preserve">Several scholars have highlighted that the </w:t>
      </w:r>
      <w:r w:rsidR="00820E85" w:rsidRPr="00F17126">
        <w:rPr>
          <w:rFonts w:ascii="Times New Roman" w:eastAsia="Times New Roman" w:hAnsi="Times New Roman" w:cs="Times New Roman"/>
          <w:sz w:val="24"/>
          <w:szCs w:val="24"/>
          <w:lang w:val="en-US" w:eastAsia="zh-CN"/>
        </w:rPr>
        <w:t>PA</w:t>
      </w:r>
      <w:r w:rsidRPr="00F17126">
        <w:rPr>
          <w:rFonts w:ascii="Times New Roman" w:eastAsia="Times New Roman" w:hAnsi="Times New Roman" w:cs="Times New Roman"/>
          <w:sz w:val="24"/>
          <w:szCs w:val="24"/>
          <w:lang w:val="en-US" w:eastAsia="zh-CN"/>
        </w:rPr>
        <w:t xml:space="preserve"> represents a novel approach, both compared with the </w:t>
      </w:r>
      <w:r w:rsidR="00BD0D4C">
        <w:rPr>
          <w:rFonts w:ascii="Times New Roman" w:eastAsia="Times New Roman" w:hAnsi="Times New Roman" w:cs="Times New Roman"/>
          <w:sz w:val="24"/>
          <w:szCs w:val="24"/>
          <w:lang w:val="en-US" w:eastAsia="zh-CN"/>
        </w:rPr>
        <w:t xml:space="preserve">past </w:t>
      </w:r>
      <w:r w:rsidRPr="00F17126">
        <w:rPr>
          <w:rFonts w:ascii="Times New Roman" w:eastAsia="Times New Roman" w:hAnsi="Times New Roman" w:cs="Times New Roman"/>
          <w:sz w:val="24"/>
          <w:szCs w:val="24"/>
          <w:lang w:val="en-US" w:eastAsia="zh-CN"/>
        </w:rPr>
        <w:t xml:space="preserve">climate regime and with other environmental regimes. It consolidates a transition from a “regulatory” model of binding, negotiated emissions targets to a “catalytic and facilitative” model aiming to induce coordinated policy shifts (Hale, 2016).  Falkner (2016) argues it heralds a new era in international climate politics, </w:t>
      </w:r>
      <w:r w:rsidR="00C02751">
        <w:rPr>
          <w:rFonts w:ascii="Times New Roman" w:eastAsia="Times New Roman" w:hAnsi="Times New Roman" w:cs="Times New Roman"/>
          <w:sz w:val="24"/>
          <w:szCs w:val="24"/>
          <w:lang w:val="en-US" w:eastAsia="zh-CN"/>
        </w:rPr>
        <w:t>calling it</w:t>
      </w:r>
      <w:r w:rsidRPr="00F17126">
        <w:rPr>
          <w:rFonts w:ascii="Times New Roman" w:eastAsia="Times New Roman" w:hAnsi="Times New Roman" w:cs="Times New Roman"/>
          <w:sz w:val="24"/>
          <w:szCs w:val="24"/>
          <w:lang w:val="en-US" w:eastAsia="zh-CN"/>
        </w:rPr>
        <w:t xml:space="preserve"> a framework for making voluntary pledges for international comparison and review (“pledge-and-review</w:t>
      </w:r>
      <w:r w:rsidR="00BB3DB0" w:rsidRPr="00F17126">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xml:space="preserve">), in the hope that </w:t>
      </w:r>
      <w:r w:rsidR="00BB3DB0" w:rsidRPr="00F17126">
        <w:rPr>
          <w:rFonts w:ascii="Times New Roman" w:eastAsia="Times New Roman" w:hAnsi="Times New Roman" w:cs="Times New Roman"/>
          <w:sz w:val="24"/>
          <w:szCs w:val="24"/>
          <w:lang w:val="en-US" w:eastAsia="zh-CN"/>
        </w:rPr>
        <w:t xml:space="preserve">naming and shaming will increase </w:t>
      </w:r>
      <w:r w:rsidRPr="00F17126">
        <w:rPr>
          <w:rFonts w:ascii="Times New Roman" w:eastAsia="Times New Roman" w:hAnsi="Times New Roman" w:cs="Times New Roman"/>
          <w:sz w:val="24"/>
          <w:szCs w:val="24"/>
          <w:lang w:val="en-US" w:eastAsia="zh-CN"/>
        </w:rPr>
        <w:t xml:space="preserve">ambition. Many scholars have noted the framework mixes top-down and bottom-up elements. This new approach emerged more by default than by design, </w:t>
      </w:r>
      <w:r w:rsidR="00C02751">
        <w:rPr>
          <w:rFonts w:ascii="Times New Roman" w:eastAsia="Times New Roman" w:hAnsi="Times New Roman" w:cs="Times New Roman"/>
          <w:sz w:val="24"/>
          <w:szCs w:val="24"/>
          <w:lang w:val="en-US" w:eastAsia="zh-CN"/>
        </w:rPr>
        <w:t>because</w:t>
      </w:r>
      <w:r w:rsidR="00C02751"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a pure</w:t>
      </w:r>
      <w:r w:rsidR="00C02751">
        <w:rPr>
          <w:rFonts w:ascii="Times New Roman" w:eastAsia="Times New Roman" w:hAnsi="Times New Roman" w:cs="Times New Roman"/>
          <w:sz w:val="24"/>
          <w:szCs w:val="24"/>
          <w:lang w:val="en-US" w:eastAsia="zh-CN"/>
        </w:rPr>
        <w:t>ly</w:t>
      </w:r>
      <w:r w:rsidRPr="00F17126">
        <w:rPr>
          <w:rFonts w:ascii="Times New Roman" w:eastAsia="Times New Roman" w:hAnsi="Times New Roman" w:cs="Times New Roman"/>
          <w:sz w:val="24"/>
          <w:szCs w:val="24"/>
          <w:lang w:val="en-US" w:eastAsia="zh-CN"/>
        </w:rPr>
        <w:t xml:space="preserve"> top-down targets-and-timetables approach would have been a simpler way to achieve temperature goals, but was politically </w:t>
      </w:r>
      <w:r w:rsidR="00BB3DB0" w:rsidRPr="00F17126">
        <w:rPr>
          <w:rFonts w:ascii="Times New Roman" w:eastAsia="Times New Roman" w:hAnsi="Times New Roman" w:cs="Times New Roman"/>
          <w:sz w:val="24"/>
          <w:szCs w:val="24"/>
          <w:lang w:val="en-US" w:eastAsia="zh-CN"/>
        </w:rPr>
        <w:t>in</w:t>
      </w:r>
      <w:r w:rsidRPr="00F17126">
        <w:rPr>
          <w:rFonts w:ascii="Times New Roman" w:eastAsia="Times New Roman" w:hAnsi="Times New Roman" w:cs="Times New Roman"/>
          <w:sz w:val="24"/>
          <w:szCs w:val="24"/>
          <w:lang w:val="en-US" w:eastAsia="zh-CN"/>
        </w:rPr>
        <w:t xml:space="preserve">feasible (Rajamani </w:t>
      </w:r>
      <w:r w:rsidR="00503950" w:rsidRPr="00F17126">
        <w:rPr>
          <w:rFonts w:ascii="Times New Roman" w:eastAsia="Times New Roman" w:hAnsi="Times New Roman" w:cs="Times New Roman"/>
          <w:sz w:val="24"/>
          <w:szCs w:val="24"/>
          <w:lang w:val="en-US" w:eastAsia="zh-CN"/>
        </w:rPr>
        <w:t>&amp;</w:t>
      </w:r>
      <w:r w:rsidRPr="00F17126">
        <w:rPr>
          <w:rFonts w:ascii="Times New Roman" w:eastAsia="Times New Roman" w:hAnsi="Times New Roman" w:cs="Times New Roman"/>
          <w:sz w:val="24"/>
          <w:szCs w:val="24"/>
          <w:lang w:val="en-US" w:eastAsia="zh-CN"/>
        </w:rPr>
        <w:t xml:space="preserve"> Guerin, 2017). However, the Paris approach can also be defended </w:t>
      </w:r>
      <w:r w:rsidR="00C02751">
        <w:rPr>
          <w:rFonts w:ascii="Times New Roman" w:eastAsia="Times New Roman" w:hAnsi="Times New Roman" w:cs="Times New Roman"/>
          <w:sz w:val="24"/>
          <w:szCs w:val="24"/>
          <w:lang w:val="en-US" w:eastAsia="zh-CN"/>
        </w:rPr>
        <w:t>using</w:t>
      </w:r>
      <w:r w:rsidRPr="00F17126">
        <w:rPr>
          <w:rFonts w:ascii="Times New Roman" w:eastAsia="Times New Roman" w:hAnsi="Times New Roman" w:cs="Times New Roman"/>
          <w:sz w:val="24"/>
          <w:szCs w:val="24"/>
          <w:lang w:val="en-US" w:eastAsia="zh-CN"/>
        </w:rPr>
        <w:t xml:space="preserve"> managerial theories of international relations (Doelle, 2017). The </w:t>
      </w:r>
      <w:r w:rsidRPr="00F17126">
        <w:rPr>
          <w:rFonts w:ascii="Times New Roman" w:eastAsia="Times New Roman" w:hAnsi="Times New Roman" w:cs="Times New Roman"/>
          <w:sz w:val="24"/>
          <w:szCs w:val="24"/>
          <w:lang w:val="en-US" w:eastAsia="zh-CN"/>
        </w:rPr>
        <w:br/>
      </w:r>
      <w:r w:rsidR="00BD0D4C">
        <w:rPr>
          <w:rFonts w:ascii="Times New Roman" w:eastAsia="Times New Roman" w:hAnsi="Times New Roman" w:cs="Times New Roman"/>
          <w:sz w:val="24"/>
          <w:szCs w:val="24"/>
          <w:lang w:val="en-US" w:eastAsia="zh-CN"/>
        </w:rPr>
        <w:t>PA</w:t>
      </w:r>
      <w:r w:rsidR="00BD0D4C"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 xml:space="preserve">relies on norms as mechanisms for strengthening ambition, while doing little to restructure </w:t>
      </w:r>
      <w:r w:rsidRPr="00F17126">
        <w:rPr>
          <w:rFonts w:ascii="Times New Roman" w:eastAsia="Times New Roman" w:hAnsi="Times New Roman" w:cs="Times New Roman"/>
          <w:sz w:val="24"/>
          <w:szCs w:val="24"/>
          <w:lang w:val="en-US" w:eastAsia="zh-CN"/>
        </w:rPr>
        <w:lastRenderedPageBreak/>
        <w:t>incentives (Bang et al</w:t>
      </w:r>
      <w:r w:rsidR="008F7F61">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xml:space="preserve">, 2016). A critical view dismisses it as </w:t>
      </w:r>
      <w:r w:rsidR="00BB3DB0" w:rsidRPr="00F17126">
        <w:rPr>
          <w:rFonts w:ascii="Times New Roman" w:eastAsia="Times New Roman" w:hAnsi="Times New Roman" w:cs="Times New Roman"/>
          <w:sz w:val="24"/>
          <w:szCs w:val="24"/>
          <w:lang w:val="en-US" w:eastAsia="zh-CN"/>
        </w:rPr>
        <w:t>“meaningless”</w:t>
      </w:r>
      <w:r w:rsidR="00674CC8">
        <w:rPr>
          <w:rFonts w:ascii="Times New Roman" w:eastAsia="Times New Roman" w:hAnsi="Times New Roman" w:cs="Times New Roman"/>
          <w:sz w:val="24"/>
          <w:szCs w:val="24"/>
          <w:lang w:val="en-US" w:eastAsia="zh-CN"/>
        </w:rPr>
        <w:t>, constituting a</w:t>
      </w:r>
      <w:r w:rsidR="00BB3DB0" w:rsidRPr="00F17126">
        <w:rPr>
          <w:rFonts w:ascii="Times New Roman" w:eastAsia="Times New Roman" w:hAnsi="Times New Roman" w:cs="Times New Roman"/>
          <w:sz w:val="24"/>
          <w:szCs w:val="24"/>
          <w:lang w:val="en-US" w:eastAsia="zh-CN"/>
        </w:rPr>
        <w:t xml:space="preserve"> </w:t>
      </w:r>
      <w:r w:rsidRPr="00F17126">
        <w:rPr>
          <w:rFonts w:ascii="Times New Roman" w:eastAsia="Times New Roman" w:hAnsi="Times New Roman" w:cs="Times New Roman"/>
          <w:sz w:val="24"/>
          <w:szCs w:val="24"/>
          <w:lang w:val="en-US" w:eastAsia="zh-CN"/>
        </w:rPr>
        <w:t xml:space="preserve">collection </w:t>
      </w:r>
      <w:r w:rsidR="00BB3DB0" w:rsidRPr="00F17126">
        <w:rPr>
          <w:rFonts w:ascii="Times New Roman" w:eastAsia="Times New Roman" w:hAnsi="Times New Roman" w:cs="Times New Roman"/>
          <w:sz w:val="24"/>
          <w:szCs w:val="24"/>
          <w:lang w:val="en-US" w:eastAsia="zh-CN"/>
        </w:rPr>
        <w:t xml:space="preserve">of </w:t>
      </w:r>
      <w:r w:rsidRPr="00F17126">
        <w:rPr>
          <w:rFonts w:ascii="Times New Roman" w:eastAsia="Times New Roman" w:hAnsi="Times New Roman" w:cs="Times New Roman"/>
          <w:sz w:val="24"/>
          <w:szCs w:val="24"/>
          <w:lang w:val="en-US" w:eastAsia="zh-CN"/>
        </w:rPr>
        <w:t>independent</w:t>
      </w:r>
      <w:r w:rsidR="00BB3DB0" w:rsidRPr="00F17126">
        <w:rPr>
          <w:rFonts w:ascii="Times New Roman" w:eastAsia="Times New Roman" w:hAnsi="Times New Roman" w:cs="Times New Roman"/>
          <w:sz w:val="24"/>
          <w:szCs w:val="24"/>
          <w:lang w:val="en-US" w:eastAsia="zh-CN"/>
        </w:rPr>
        <w:t>,</w:t>
      </w:r>
      <w:r w:rsidRPr="00F17126">
        <w:rPr>
          <w:rFonts w:ascii="Times New Roman" w:eastAsia="Times New Roman" w:hAnsi="Times New Roman" w:cs="Times New Roman"/>
          <w:sz w:val="24"/>
          <w:szCs w:val="24"/>
          <w:lang w:val="en-US" w:eastAsia="zh-CN"/>
        </w:rPr>
        <w:t xml:space="preserve"> unilateral</w:t>
      </w:r>
      <w:r w:rsidR="00BB3DB0" w:rsidRPr="00F17126">
        <w:rPr>
          <w:rFonts w:ascii="Times New Roman" w:eastAsia="Times New Roman" w:hAnsi="Times New Roman" w:cs="Times New Roman"/>
          <w:sz w:val="24"/>
          <w:szCs w:val="24"/>
          <w:lang w:val="en-US" w:eastAsia="zh-CN"/>
        </w:rPr>
        <w:t>, and</w:t>
      </w:r>
      <w:r w:rsidRPr="00F17126">
        <w:rPr>
          <w:rFonts w:ascii="Times New Roman" w:eastAsia="Times New Roman" w:hAnsi="Times New Roman" w:cs="Times New Roman"/>
          <w:sz w:val="24"/>
          <w:szCs w:val="24"/>
          <w:lang w:val="en-US" w:eastAsia="zh-CN"/>
        </w:rPr>
        <w:t xml:space="preserve"> unenforceable targets being sold as a </w:t>
      </w:r>
      <w:r w:rsidR="00BB3DB0" w:rsidRPr="00F17126">
        <w:rPr>
          <w:rFonts w:ascii="Times New Roman" w:eastAsia="Times New Roman" w:hAnsi="Times New Roman" w:cs="Times New Roman"/>
          <w:sz w:val="24"/>
          <w:szCs w:val="24"/>
          <w:lang w:val="en-US" w:eastAsia="zh-CN"/>
        </w:rPr>
        <w:t>multilateral consensus</w:t>
      </w:r>
      <w:r w:rsidRPr="00F17126">
        <w:rPr>
          <w:rFonts w:ascii="Times New Roman" w:eastAsia="Times New Roman" w:hAnsi="Times New Roman" w:cs="Times New Roman"/>
          <w:sz w:val="24"/>
          <w:szCs w:val="24"/>
          <w:lang w:val="en-US" w:eastAsia="zh-CN"/>
        </w:rPr>
        <w:t xml:space="preserve"> (Spash, 2016).</w:t>
      </w:r>
    </w:p>
    <w:p w14:paraId="0AB55E91" w14:textId="4590B2B8" w:rsidR="000115C7" w:rsidRPr="00F17126" w:rsidRDefault="000115C7" w:rsidP="009C477E">
      <w:pPr>
        <w:spacing w:after="120" w:line="360" w:lineRule="auto"/>
        <w:rPr>
          <w:rFonts w:ascii="Times New Roman" w:eastAsia="Times New Roman" w:hAnsi="Times New Roman" w:cs="Times New Roman"/>
          <w:sz w:val="24"/>
          <w:szCs w:val="24"/>
          <w:lang w:val="en-US" w:eastAsia="zh-CN"/>
        </w:rPr>
      </w:pPr>
      <w:r w:rsidRPr="00F17126">
        <w:rPr>
          <w:rFonts w:ascii="Times New Roman" w:eastAsia="Times New Roman" w:hAnsi="Times New Roman" w:cs="Times New Roman"/>
          <w:sz w:val="24"/>
          <w:szCs w:val="24"/>
          <w:lang w:val="en-US" w:eastAsia="zh-CN"/>
        </w:rPr>
        <w:t xml:space="preserve">Compared with </w:t>
      </w:r>
      <w:r w:rsidR="00BD0D4C">
        <w:rPr>
          <w:rFonts w:ascii="Times New Roman" w:eastAsia="Times New Roman" w:hAnsi="Times New Roman" w:cs="Times New Roman"/>
          <w:sz w:val="24"/>
          <w:szCs w:val="24"/>
          <w:lang w:val="en-US" w:eastAsia="zh-CN"/>
        </w:rPr>
        <w:t xml:space="preserve">the mechanisms of </w:t>
      </w:r>
      <w:r w:rsidRPr="00F17126">
        <w:rPr>
          <w:rFonts w:ascii="Times New Roman" w:eastAsia="Times New Roman" w:hAnsi="Times New Roman" w:cs="Times New Roman"/>
          <w:sz w:val="24"/>
          <w:szCs w:val="24"/>
          <w:lang w:val="en-US" w:eastAsia="zh-CN"/>
        </w:rPr>
        <w:t xml:space="preserve">other environmental regimes, the mechanisms for strengthening commitments are considerably less straightforward (Young, 2016). </w:t>
      </w:r>
      <w:r w:rsidR="00C02751">
        <w:rPr>
          <w:rFonts w:ascii="Times New Roman" w:eastAsia="Times New Roman" w:hAnsi="Times New Roman" w:cs="Times New Roman"/>
          <w:sz w:val="24"/>
          <w:szCs w:val="24"/>
          <w:lang w:val="en-US" w:eastAsia="zh-CN"/>
        </w:rPr>
        <w:t>We now review the most</w:t>
      </w:r>
      <w:r w:rsidRPr="00F17126">
        <w:rPr>
          <w:rFonts w:ascii="Times New Roman" w:eastAsia="Times New Roman" w:hAnsi="Times New Roman" w:cs="Times New Roman"/>
          <w:sz w:val="24"/>
          <w:szCs w:val="24"/>
          <w:lang w:val="en-US" w:eastAsia="zh-CN"/>
        </w:rPr>
        <w:t xml:space="preserve"> central textual elements for fostering ambition.</w:t>
      </w:r>
    </w:p>
    <w:p w14:paraId="6AF993B3" w14:textId="273CC498" w:rsidR="000115C7" w:rsidRPr="00F17126" w:rsidRDefault="004F0B10" w:rsidP="009C477E">
      <w:pPr>
        <w:keepNext/>
        <w:keepLines/>
        <w:spacing w:after="120" w:line="360" w:lineRule="auto"/>
        <w:outlineLvl w:val="3"/>
        <w:rPr>
          <w:rFonts w:ascii="Times New Roman" w:eastAsia="Times New Roman" w:hAnsi="Times New Roman" w:cs="Times New Roman"/>
          <w:i/>
          <w:iCs/>
          <w:sz w:val="24"/>
          <w:szCs w:val="24"/>
          <w:lang w:val="en-US" w:eastAsia="zh-CN"/>
        </w:rPr>
      </w:pPr>
      <w:r w:rsidRPr="00F17126">
        <w:rPr>
          <w:rFonts w:ascii="Times New Roman" w:eastAsia="Times New Roman" w:hAnsi="Times New Roman" w:cs="Times New Roman"/>
          <w:i/>
          <w:iCs/>
          <w:sz w:val="24"/>
          <w:szCs w:val="24"/>
          <w:lang w:val="en-US" w:eastAsia="zh-CN"/>
        </w:rPr>
        <w:t xml:space="preserve">5.4 </w:t>
      </w:r>
      <w:r w:rsidR="000115C7" w:rsidRPr="00F17126">
        <w:rPr>
          <w:rFonts w:ascii="Times New Roman" w:eastAsia="Times New Roman" w:hAnsi="Times New Roman" w:cs="Times New Roman"/>
          <w:i/>
          <w:iCs/>
          <w:sz w:val="24"/>
          <w:szCs w:val="24"/>
          <w:lang w:val="en-US" w:eastAsia="zh-CN"/>
        </w:rPr>
        <w:t>NDC cycle</w:t>
      </w:r>
    </w:p>
    <w:p w14:paraId="03A42E9F" w14:textId="6630868E" w:rsidR="000115C7" w:rsidRPr="00F17126" w:rsidRDefault="000115C7" w:rsidP="009C477E">
      <w:pPr>
        <w:spacing w:after="120" w:line="360" w:lineRule="auto"/>
        <w:rPr>
          <w:rFonts w:ascii="Times New Roman" w:eastAsia="Times New Roman" w:hAnsi="Times New Roman" w:cs="Times New Roman"/>
          <w:sz w:val="24"/>
          <w:szCs w:val="24"/>
          <w:lang w:val="en-US" w:eastAsia="zh-CN"/>
        </w:rPr>
      </w:pPr>
      <w:r w:rsidRPr="00F17126">
        <w:rPr>
          <w:rFonts w:ascii="Times New Roman" w:eastAsia="Times New Roman" w:hAnsi="Times New Roman" w:cs="Times New Roman"/>
          <w:sz w:val="24"/>
          <w:szCs w:val="24"/>
          <w:lang w:val="en-US" w:eastAsia="zh-CN"/>
        </w:rPr>
        <w:t xml:space="preserve">One central tool for ratcheting up ambition is the obligation to prepare successive NDCs every five years (Art. 4.2 and </w:t>
      </w:r>
      <w:r w:rsidR="00BD0D4C">
        <w:rPr>
          <w:rFonts w:ascii="Times New Roman" w:eastAsia="Times New Roman" w:hAnsi="Times New Roman" w:cs="Times New Roman"/>
          <w:sz w:val="24"/>
          <w:szCs w:val="24"/>
          <w:lang w:val="en-US" w:eastAsia="zh-CN"/>
        </w:rPr>
        <w:t xml:space="preserve">Art. </w:t>
      </w:r>
      <w:r w:rsidRPr="00F17126">
        <w:rPr>
          <w:rFonts w:ascii="Times New Roman" w:eastAsia="Times New Roman" w:hAnsi="Times New Roman" w:cs="Times New Roman"/>
          <w:sz w:val="24"/>
          <w:szCs w:val="24"/>
          <w:lang w:val="en-US" w:eastAsia="zh-CN"/>
        </w:rPr>
        <w:t>4.9) (Friedrich, 2017)</w:t>
      </w:r>
      <w:r w:rsidR="00BB3DB0" w:rsidRPr="00F17126">
        <w:rPr>
          <w:rFonts w:ascii="Times New Roman" w:eastAsia="Times New Roman" w:hAnsi="Times New Roman" w:cs="Times New Roman"/>
          <w:sz w:val="24"/>
          <w:szCs w:val="24"/>
          <w:lang w:val="en-US" w:eastAsia="zh-CN"/>
        </w:rPr>
        <w:t xml:space="preserve">. This obligation </w:t>
      </w:r>
      <w:r w:rsidRPr="00F17126">
        <w:rPr>
          <w:rFonts w:ascii="Times New Roman" w:eastAsia="Times New Roman" w:hAnsi="Times New Roman" w:cs="Times New Roman"/>
          <w:sz w:val="24"/>
          <w:szCs w:val="24"/>
          <w:lang w:val="en-US" w:eastAsia="zh-CN"/>
        </w:rPr>
        <w:t xml:space="preserve">is the </w:t>
      </w:r>
      <w:r w:rsidR="00BB3DB0" w:rsidRPr="00F17126">
        <w:rPr>
          <w:rFonts w:ascii="Times New Roman" w:eastAsia="Times New Roman" w:hAnsi="Times New Roman" w:cs="Times New Roman"/>
          <w:sz w:val="24"/>
          <w:szCs w:val="24"/>
          <w:lang w:val="en-US" w:eastAsia="zh-CN"/>
        </w:rPr>
        <w:t>PA</w:t>
      </w:r>
      <w:r w:rsidRPr="00F17126">
        <w:rPr>
          <w:rFonts w:ascii="Times New Roman" w:eastAsia="Times New Roman" w:hAnsi="Times New Roman" w:cs="Times New Roman"/>
          <w:sz w:val="24"/>
          <w:szCs w:val="24"/>
          <w:lang w:val="en-US" w:eastAsia="zh-CN"/>
        </w:rPr>
        <w:t xml:space="preserve">’s core legal commitment on </w:t>
      </w:r>
      <w:r w:rsidR="00BB3DB0" w:rsidRPr="00F17126">
        <w:rPr>
          <w:rFonts w:ascii="Times New Roman" w:eastAsia="Times New Roman" w:hAnsi="Times New Roman" w:cs="Times New Roman"/>
          <w:sz w:val="24"/>
          <w:szCs w:val="24"/>
          <w:lang w:val="en-US" w:eastAsia="zh-CN"/>
        </w:rPr>
        <w:t xml:space="preserve">the </w:t>
      </w:r>
      <w:r w:rsidR="00777C40">
        <w:rPr>
          <w:rFonts w:ascii="Times New Roman" w:eastAsia="Times New Roman" w:hAnsi="Times New Roman" w:cs="Times New Roman"/>
          <w:sz w:val="24"/>
          <w:szCs w:val="24"/>
          <w:lang w:val="en-US" w:eastAsia="zh-CN"/>
        </w:rPr>
        <w:t>Parties</w:t>
      </w:r>
      <w:r w:rsidRPr="00F17126">
        <w:rPr>
          <w:rFonts w:ascii="Times New Roman" w:eastAsia="Times New Roman" w:hAnsi="Times New Roman" w:cs="Times New Roman"/>
          <w:sz w:val="24"/>
          <w:szCs w:val="24"/>
          <w:lang w:val="en-US" w:eastAsia="zh-CN"/>
        </w:rPr>
        <w:t xml:space="preserve">, </w:t>
      </w:r>
      <w:r w:rsidR="00C02751">
        <w:rPr>
          <w:rFonts w:ascii="Times New Roman" w:eastAsia="Times New Roman" w:hAnsi="Times New Roman" w:cs="Times New Roman"/>
          <w:sz w:val="24"/>
          <w:szCs w:val="24"/>
          <w:lang w:val="en-US" w:eastAsia="zh-CN"/>
        </w:rPr>
        <w:t>per</w:t>
      </w:r>
      <w:r w:rsidRPr="00F17126">
        <w:rPr>
          <w:rFonts w:ascii="Times New Roman" w:eastAsia="Times New Roman" w:hAnsi="Times New Roman" w:cs="Times New Roman"/>
          <w:sz w:val="24"/>
          <w:szCs w:val="24"/>
          <w:lang w:val="en-US" w:eastAsia="zh-CN"/>
        </w:rPr>
        <w:t xml:space="preserve"> Brun (2016). Each party’s </w:t>
      </w:r>
      <w:r w:rsidRPr="00F17126">
        <w:rPr>
          <w:rFonts w:ascii="Times New Roman" w:eastAsia="Calibri" w:hAnsi="Times New Roman" w:cs="Times New Roman"/>
          <w:sz w:val="24"/>
          <w:szCs w:val="24"/>
          <w:lang w:val="en-US"/>
        </w:rPr>
        <w:t xml:space="preserve">successive NDCs </w:t>
      </w:r>
      <w:r w:rsidR="00333DF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will represent a progression </w:t>
      </w:r>
      <w:r w:rsidR="00333DF7" w:rsidRPr="00F17126">
        <w:rPr>
          <w:rFonts w:ascii="Times New Roman" w:eastAsia="Calibri" w:hAnsi="Times New Roman" w:cs="Times New Roman"/>
          <w:sz w:val="24"/>
          <w:szCs w:val="24"/>
          <w:lang w:val="en-US"/>
        </w:rPr>
        <w:t>beyond</w:t>
      </w:r>
      <w:r w:rsidRPr="00F17126">
        <w:rPr>
          <w:rFonts w:ascii="Times New Roman" w:eastAsia="Calibri" w:hAnsi="Times New Roman" w:cs="Times New Roman"/>
          <w:sz w:val="24"/>
          <w:szCs w:val="24"/>
          <w:lang w:val="en-US"/>
        </w:rPr>
        <w:t xml:space="preserve"> </w:t>
      </w:r>
      <w:r w:rsidR="00333DF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its previous NDC</w:t>
      </w:r>
      <w:r w:rsidR="00333DF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and reflect its highest possible ambition</w:t>
      </w:r>
      <w:r w:rsidR="00333DF7"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(Art. 4.3). Both elements in Article 4.3 faced widespread opposition during negotiations (Brun, 2016) and it is unclear whether the final formulation is legally binding (see Winkler, 2017). It nevertheless creates expectations of “tremendous significance” in guiding the NDCs in </w:t>
      </w:r>
      <w:r w:rsidR="00BD0D4C">
        <w:rPr>
          <w:rFonts w:ascii="Times New Roman" w:eastAsia="Calibri" w:hAnsi="Times New Roman" w:cs="Times New Roman"/>
          <w:sz w:val="24"/>
          <w:szCs w:val="24"/>
          <w:lang w:val="en-US"/>
        </w:rPr>
        <w:t xml:space="preserve">an </w:t>
      </w:r>
      <w:r w:rsidR="00777C40">
        <w:rPr>
          <w:rFonts w:ascii="Times New Roman" w:eastAsia="Calibri" w:hAnsi="Times New Roman" w:cs="Times New Roman"/>
          <w:sz w:val="24"/>
          <w:szCs w:val="24"/>
          <w:lang w:val="en-US"/>
        </w:rPr>
        <w:t>increasingly</w:t>
      </w:r>
      <w:r w:rsidRPr="00F17126">
        <w:rPr>
          <w:rFonts w:ascii="Times New Roman" w:eastAsia="Calibri" w:hAnsi="Times New Roman" w:cs="Times New Roman"/>
          <w:sz w:val="24"/>
          <w:szCs w:val="24"/>
          <w:lang w:val="en-US"/>
        </w:rPr>
        <w:t xml:space="preserve"> ambitious direction (Rajamani </w:t>
      </w:r>
      <w:r w:rsidR="00503950" w:rsidRPr="00F17126">
        <w:rPr>
          <w:rFonts w:ascii="Times New Roman" w:eastAsia="Calibri" w:hAnsi="Times New Roman" w:cs="Times New Roman"/>
          <w:sz w:val="24"/>
          <w:szCs w:val="24"/>
          <w:lang w:val="en-US"/>
        </w:rPr>
        <w:t>&amp;</w:t>
      </w:r>
      <w:r w:rsidRPr="00F17126">
        <w:rPr>
          <w:rFonts w:ascii="Times New Roman" w:eastAsia="Calibri" w:hAnsi="Times New Roman" w:cs="Times New Roman"/>
          <w:sz w:val="24"/>
          <w:szCs w:val="24"/>
          <w:lang w:val="en-US"/>
        </w:rPr>
        <w:t xml:space="preserve"> Guerin, 2017).</w:t>
      </w:r>
    </w:p>
    <w:p w14:paraId="4C9D2F27" w14:textId="2836BED0" w:rsidR="000115C7" w:rsidRPr="00F17126" w:rsidRDefault="004F0B10" w:rsidP="009C477E">
      <w:pPr>
        <w:keepNext/>
        <w:keepLines/>
        <w:spacing w:after="120" w:line="360" w:lineRule="auto"/>
        <w:outlineLvl w:val="2"/>
        <w:rPr>
          <w:rFonts w:ascii="Times New Roman" w:eastAsia="Times New Roman" w:hAnsi="Times New Roman" w:cs="Times New Roman"/>
          <w:i/>
          <w:color w:val="1F4D78"/>
          <w:sz w:val="24"/>
          <w:szCs w:val="24"/>
          <w:lang w:val="en-US" w:eastAsia="zh-CN"/>
        </w:rPr>
      </w:pPr>
      <w:r w:rsidRPr="00F17126">
        <w:rPr>
          <w:rFonts w:ascii="Times New Roman" w:eastAsia="Times New Roman" w:hAnsi="Times New Roman" w:cs="Times New Roman"/>
          <w:i/>
          <w:sz w:val="24"/>
          <w:szCs w:val="24"/>
          <w:lang w:val="en-US" w:eastAsia="zh-CN"/>
        </w:rPr>
        <w:t xml:space="preserve">5.5 </w:t>
      </w:r>
      <w:r w:rsidR="000115C7" w:rsidRPr="00F17126">
        <w:rPr>
          <w:rFonts w:ascii="Times New Roman" w:eastAsia="Times New Roman" w:hAnsi="Times New Roman" w:cs="Times New Roman"/>
          <w:i/>
          <w:sz w:val="24"/>
          <w:szCs w:val="24"/>
          <w:lang w:val="en-US" w:eastAsia="zh-CN"/>
        </w:rPr>
        <w:t>Transparency and global stocktake</w:t>
      </w:r>
    </w:p>
    <w:p w14:paraId="4526B725" w14:textId="1B5C7105"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Keohane </w:t>
      </w:r>
      <w:r w:rsidR="008F7F61">
        <w:rPr>
          <w:rFonts w:ascii="Times New Roman" w:eastAsia="Calibri" w:hAnsi="Times New Roman" w:cs="Times New Roman"/>
          <w:sz w:val="24"/>
          <w:szCs w:val="24"/>
          <w:lang w:val="en-US"/>
        </w:rPr>
        <w:t>and</w:t>
      </w:r>
      <w:r w:rsidRPr="00F17126">
        <w:rPr>
          <w:rFonts w:ascii="Times New Roman" w:eastAsia="Calibri" w:hAnsi="Times New Roman" w:cs="Times New Roman"/>
          <w:sz w:val="24"/>
          <w:szCs w:val="24"/>
          <w:lang w:val="en-US"/>
        </w:rPr>
        <w:t xml:space="preserve"> Oppenheimer (2016) argue that pledge-and-review </w:t>
      </w:r>
      <w:r w:rsidR="00E7243C" w:rsidRPr="00F17126">
        <w:rPr>
          <w:rFonts w:ascii="Times New Roman" w:eastAsia="Calibri" w:hAnsi="Times New Roman" w:cs="Times New Roman"/>
          <w:sz w:val="24"/>
          <w:szCs w:val="24"/>
          <w:lang w:val="en-US"/>
        </w:rPr>
        <w:t xml:space="preserve">can </w:t>
      </w:r>
      <w:r w:rsidRPr="00F17126">
        <w:rPr>
          <w:rFonts w:ascii="Times New Roman" w:eastAsia="Calibri" w:hAnsi="Times New Roman" w:cs="Times New Roman"/>
          <w:sz w:val="24"/>
          <w:szCs w:val="24"/>
          <w:lang w:val="en-US"/>
        </w:rPr>
        <w:t xml:space="preserve">work </w:t>
      </w:r>
      <w:r w:rsidR="00023894">
        <w:rPr>
          <w:rFonts w:ascii="Times New Roman" w:eastAsia="Calibri" w:hAnsi="Times New Roman" w:cs="Times New Roman"/>
          <w:sz w:val="24"/>
          <w:szCs w:val="24"/>
          <w:lang w:val="en-US"/>
        </w:rPr>
        <w:t xml:space="preserve">only </w:t>
      </w:r>
      <w:r w:rsidR="00BB3DB0" w:rsidRPr="00F17126">
        <w:rPr>
          <w:rFonts w:ascii="Times New Roman" w:eastAsia="Calibri" w:hAnsi="Times New Roman" w:cs="Times New Roman"/>
          <w:sz w:val="24"/>
          <w:szCs w:val="24"/>
          <w:lang w:val="en-US"/>
        </w:rPr>
        <w:t>in the presence of</w:t>
      </w:r>
      <w:r w:rsidRPr="00F17126">
        <w:rPr>
          <w:rFonts w:ascii="Times New Roman" w:eastAsia="Calibri" w:hAnsi="Times New Roman" w:cs="Times New Roman"/>
          <w:sz w:val="24"/>
          <w:szCs w:val="24"/>
          <w:lang w:val="en-US"/>
        </w:rPr>
        <w:t xml:space="preserve"> transparency, </w:t>
      </w:r>
      <w:r w:rsidR="00371D26" w:rsidRPr="00F17126">
        <w:rPr>
          <w:rFonts w:ascii="Times New Roman" w:eastAsia="Calibri" w:hAnsi="Times New Roman" w:cs="Times New Roman"/>
          <w:sz w:val="24"/>
          <w:szCs w:val="24"/>
          <w:lang w:val="en-US"/>
        </w:rPr>
        <w:t>while</w:t>
      </w:r>
      <w:r w:rsidRPr="00F17126">
        <w:rPr>
          <w:rFonts w:ascii="Times New Roman" w:eastAsia="Calibri" w:hAnsi="Times New Roman" w:cs="Times New Roman"/>
          <w:sz w:val="24"/>
          <w:szCs w:val="24"/>
          <w:lang w:val="en-US"/>
        </w:rPr>
        <w:t xml:space="preserve"> Winkler (2017) emphasizes that </w:t>
      </w:r>
      <w:r w:rsidR="00974F2A">
        <w:rPr>
          <w:rFonts w:ascii="Times New Roman" w:eastAsia="Calibri" w:hAnsi="Times New Roman" w:cs="Times New Roman"/>
          <w:sz w:val="24"/>
          <w:szCs w:val="24"/>
          <w:lang w:val="en-US"/>
        </w:rPr>
        <w:t>Article 4’s NDC provision</w:t>
      </w:r>
      <w:r w:rsidRPr="00F17126">
        <w:rPr>
          <w:rFonts w:ascii="Times New Roman" w:eastAsia="Calibri" w:hAnsi="Times New Roman" w:cs="Times New Roman"/>
          <w:sz w:val="24"/>
          <w:szCs w:val="24"/>
          <w:lang w:val="en-US"/>
        </w:rPr>
        <w:t xml:space="preserve"> must be read together with links to transparency and the global stocktake, </w:t>
      </w:r>
      <w:r w:rsidR="00974F2A">
        <w:rPr>
          <w:rFonts w:ascii="Times New Roman" w:eastAsia="Calibri" w:hAnsi="Times New Roman" w:cs="Times New Roman"/>
          <w:sz w:val="24"/>
          <w:szCs w:val="24"/>
          <w:lang w:val="en-US"/>
        </w:rPr>
        <w:t>because</w:t>
      </w:r>
      <w:r w:rsidRPr="00F17126">
        <w:rPr>
          <w:rFonts w:ascii="Times New Roman" w:eastAsia="Calibri" w:hAnsi="Times New Roman" w:cs="Times New Roman"/>
          <w:sz w:val="24"/>
          <w:szCs w:val="24"/>
          <w:lang w:val="en-US"/>
        </w:rPr>
        <w:t xml:space="preserve"> they are crucial for providing an upward ambition spiral.</w:t>
      </w:r>
    </w:p>
    <w:p w14:paraId="794CE752" w14:textId="14D167D6"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Article 13 establishes a transparency framework. </w:t>
      </w:r>
      <w:r w:rsidR="00777C40">
        <w:rPr>
          <w:rFonts w:ascii="Times New Roman" w:eastAsia="Calibri" w:hAnsi="Times New Roman" w:cs="Times New Roman"/>
          <w:sz w:val="24"/>
          <w:szCs w:val="24"/>
          <w:lang w:val="en-US"/>
        </w:rPr>
        <w:t>Parties</w:t>
      </w:r>
      <w:r w:rsidRPr="00F17126">
        <w:rPr>
          <w:rFonts w:ascii="Times New Roman" w:eastAsia="Calibri" w:hAnsi="Times New Roman" w:cs="Times New Roman"/>
          <w:sz w:val="24"/>
          <w:szCs w:val="24"/>
          <w:lang w:val="en-US"/>
        </w:rPr>
        <w:t xml:space="preserve"> shall regularly report their emissions and </w:t>
      </w:r>
      <w:r w:rsidR="00371D26" w:rsidRPr="00F17126">
        <w:rPr>
          <w:rFonts w:ascii="Times New Roman" w:eastAsia="Calibri" w:hAnsi="Times New Roman" w:cs="Times New Roman"/>
          <w:sz w:val="24"/>
          <w:szCs w:val="24"/>
          <w:lang w:val="en-US"/>
        </w:rPr>
        <w:t xml:space="preserve">provide </w:t>
      </w:r>
      <w:r w:rsidRPr="00F17126">
        <w:rPr>
          <w:rFonts w:ascii="Times New Roman" w:eastAsia="Calibri" w:hAnsi="Times New Roman" w:cs="Times New Roman"/>
          <w:sz w:val="24"/>
          <w:szCs w:val="24"/>
          <w:lang w:val="en-US"/>
        </w:rPr>
        <w:t xml:space="preserve">information necessary to track progress in their NDC implementation and achievement. Article 13 also states reports shall </w:t>
      </w:r>
      <w:r w:rsidR="00974F2A">
        <w:rPr>
          <w:rFonts w:ascii="Times New Roman" w:eastAsia="Calibri" w:hAnsi="Times New Roman" w:cs="Times New Roman"/>
          <w:sz w:val="24"/>
          <w:szCs w:val="24"/>
          <w:lang w:val="en-US"/>
        </w:rPr>
        <w:t>be reviewed multilaterally</w:t>
      </w:r>
      <w:r w:rsidRPr="00F17126">
        <w:rPr>
          <w:rFonts w:ascii="Times New Roman" w:eastAsia="Calibri" w:hAnsi="Times New Roman" w:cs="Times New Roman"/>
          <w:sz w:val="24"/>
          <w:szCs w:val="24"/>
          <w:lang w:val="en-US"/>
        </w:rPr>
        <w:t xml:space="preserve">. </w:t>
      </w:r>
      <w:r w:rsidR="00974F2A">
        <w:rPr>
          <w:rFonts w:ascii="Times New Roman" w:eastAsia="Calibri" w:hAnsi="Times New Roman" w:cs="Times New Roman"/>
          <w:sz w:val="24"/>
          <w:szCs w:val="24"/>
          <w:lang w:val="en-US"/>
        </w:rPr>
        <w:t>For Falkner (201</w:t>
      </w:r>
      <w:r w:rsidR="00411522">
        <w:rPr>
          <w:rFonts w:ascii="Times New Roman" w:eastAsia="Calibri" w:hAnsi="Times New Roman" w:cs="Times New Roman"/>
          <w:sz w:val="24"/>
          <w:szCs w:val="24"/>
          <w:lang w:val="en-US"/>
        </w:rPr>
        <w:t>6</w:t>
      </w:r>
      <w:r w:rsidR="00974F2A">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these reviews are the </w:t>
      </w:r>
      <w:r w:rsidR="00974F2A">
        <w:rPr>
          <w:rFonts w:ascii="Times New Roman" w:eastAsia="Calibri" w:hAnsi="Times New Roman" w:cs="Times New Roman"/>
          <w:sz w:val="24"/>
          <w:szCs w:val="24"/>
          <w:lang w:val="en-US"/>
        </w:rPr>
        <w:t>principal</w:t>
      </w:r>
      <w:r w:rsidR="00974F2A"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 xml:space="preserve">tool for driving up ambition, through creating </w:t>
      </w:r>
      <w:r w:rsidR="00974F2A">
        <w:rPr>
          <w:rFonts w:ascii="Times New Roman" w:eastAsia="Calibri" w:hAnsi="Times New Roman" w:cs="Times New Roman"/>
          <w:sz w:val="24"/>
          <w:szCs w:val="24"/>
          <w:lang w:val="en-US"/>
        </w:rPr>
        <w:t>periodic</w:t>
      </w:r>
      <w:r w:rsidR="00974F2A"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moments for naming and shaming.</w:t>
      </w:r>
    </w:p>
    <w:p w14:paraId="16532FAD" w14:textId="42FDF66D"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The transparency framework is focused on individual </w:t>
      </w:r>
      <w:r w:rsidR="00777C40">
        <w:rPr>
          <w:rFonts w:ascii="Times New Roman" w:eastAsia="Calibri" w:hAnsi="Times New Roman" w:cs="Times New Roman"/>
          <w:sz w:val="24"/>
          <w:szCs w:val="24"/>
          <w:lang w:val="en-US"/>
        </w:rPr>
        <w:t>Parties</w:t>
      </w:r>
      <w:r w:rsidRPr="00F17126">
        <w:rPr>
          <w:rFonts w:ascii="Times New Roman" w:eastAsia="Calibri" w:hAnsi="Times New Roman" w:cs="Times New Roman"/>
          <w:sz w:val="24"/>
          <w:szCs w:val="24"/>
          <w:lang w:val="en-US"/>
        </w:rPr>
        <w:t xml:space="preserve">, and will </w:t>
      </w:r>
      <w:r w:rsidR="00974F2A">
        <w:rPr>
          <w:rFonts w:ascii="Times New Roman" w:eastAsia="Calibri" w:hAnsi="Times New Roman" w:cs="Times New Roman"/>
          <w:sz w:val="24"/>
          <w:szCs w:val="24"/>
          <w:lang w:val="en-US"/>
        </w:rPr>
        <w:t>be insufficient</w:t>
      </w:r>
      <w:r w:rsidRPr="00F17126">
        <w:rPr>
          <w:rFonts w:ascii="Times New Roman" w:eastAsia="Calibri" w:hAnsi="Times New Roman" w:cs="Times New Roman"/>
          <w:sz w:val="24"/>
          <w:szCs w:val="24"/>
          <w:lang w:val="en-US"/>
        </w:rPr>
        <w:t xml:space="preserve"> for assessing aggregate progress </w:t>
      </w:r>
      <w:r w:rsidR="00674CC8">
        <w:rPr>
          <w:rFonts w:ascii="Times New Roman" w:eastAsia="Calibri" w:hAnsi="Times New Roman" w:cs="Times New Roman"/>
          <w:sz w:val="24"/>
          <w:szCs w:val="24"/>
          <w:lang w:val="en-US"/>
        </w:rPr>
        <w:t>(</w:t>
      </w:r>
      <w:r w:rsidR="00C870B3" w:rsidRPr="00F17126">
        <w:rPr>
          <w:rFonts w:ascii="Times New Roman" w:eastAsia="Calibri" w:hAnsi="Times New Roman" w:cs="Times New Roman"/>
          <w:sz w:val="24"/>
          <w:szCs w:val="24"/>
          <w:lang w:val="en-US"/>
        </w:rPr>
        <w:t>Briner, 2016;</w:t>
      </w:r>
      <w:r w:rsidR="00E21EA4">
        <w:rPr>
          <w:rFonts w:ascii="Times New Roman" w:eastAsia="Calibri" w:hAnsi="Times New Roman" w:cs="Times New Roman"/>
          <w:sz w:val="24"/>
          <w:szCs w:val="24"/>
          <w:lang w:val="en-US"/>
        </w:rPr>
        <w:t xml:space="preserve"> </w:t>
      </w:r>
      <w:r w:rsidR="00C870B3" w:rsidRPr="00F17126">
        <w:rPr>
          <w:rFonts w:ascii="Times New Roman" w:eastAsia="Calibri" w:hAnsi="Times New Roman" w:cs="Times New Roman"/>
          <w:sz w:val="24"/>
          <w:szCs w:val="24"/>
          <w:lang w:val="en-US"/>
        </w:rPr>
        <w:t>Rajamani, 2016</w:t>
      </w:r>
      <w:r w:rsidR="00674CC8">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Collective progress toward achieving the </w:t>
      </w:r>
      <w:r w:rsidR="00B04029">
        <w:rPr>
          <w:rFonts w:ascii="Times New Roman" w:eastAsia="Calibri" w:hAnsi="Times New Roman" w:cs="Times New Roman"/>
          <w:sz w:val="24"/>
          <w:szCs w:val="24"/>
          <w:lang w:val="en-US"/>
        </w:rPr>
        <w:t>PA’s</w:t>
      </w:r>
      <w:r w:rsidR="00B04029"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goals will be assessed in a global stocktake</w:t>
      </w:r>
      <w:r w:rsidRPr="00F17126">
        <w:rPr>
          <w:rFonts w:ascii="Times New Roman" w:eastAsia="Calibri" w:hAnsi="Times New Roman" w:cs="Times New Roman"/>
          <w:i/>
          <w:sz w:val="24"/>
          <w:szCs w:val="24"/>
          <w:lang w:val="en-US"/>
        </w:rPr>
        <w:t xml:space="preserve"> </w:t>
      </w:r>
      <w:r w:rsidRPr="00F17126">
        <w:rPr>
          <w:rFonts w:ascii="Times New Roman" w:eastAsia="Calibri" w:hAnsi="Times New Roman" w:cs="Times New Roman"/>
          <w:sz w:val="24"/>
          <w:szCs w:val="24"/>
          <w:lang w:val="en-US"/>
        </w:rPr>
        <w:t>every five years</w:t>
      </w:r>
      <w:r w:rsidR="00974F2A">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w:t>
      </w:r>
      <w:r w:rsidR="00974F2A">
        <w:rPr>
          <w:rFonts w:ascii="Times New Roman" w:eastAsia="Calibri" w:hAnsi="Times New Roman" w:cs="Times New Roman"/>
          <w:sz w:val="24"/>
          <w:szCs w:val="24"/>
          <w:lang w:val="en-US"/>
        </w:rPr>
        <w:t>from</w:t>
      </w:r>
      <w:r w:rsidRPr="00F17126">
        <w:rPr>
          <w:rFonts w:ascii="Times New Roman" w:eastAsia="Calibri" w:hAnsi="Times New Roman" w:cs="Times New Roman"/>
          <w:sz w:val="24"/>
          <w:szCs w:val="24"/>
          <w:lang w:val="en-US"/>
        </w:rPr>
        <w:t xml:space="preserve"> 2023 (Art. 14). The stocktake is crucial for driving ambition</w:t>
      </w:r>
      <w:r w:rsidR="00371D26"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because it links individual ambition to the collective goals, and can thus be </w:t>
      </w:r>
      <w:r w:rsidR="00B04029">
        <w:rPr>
          <w:rFonts w:ascii="Times New Roman" w:eastAsia="Calibri" w:hAnsi="Times New Roman" w:cs="Times New Roman"/>
          <w:sz w:val="24"/>
          <w:szCs w:val="24"/>
          <w:lang w:val="en-US"/>
        </w:rPr>
        <w:t>regarded as</w:t>
      </w:r>
      <w:r w:rsidRPr="00F17126">
        <w:rPr>
          <w:rFonts w:ascii="Times New Roman" w:eastAsia="Calibri" w:hAnsi="Times New Roman" w:cs="Times New Roman"/>
          <w:sz w:val="24"/>
          <w:szCs w:val="24"/>
          <w:lang w:val="en-US"/>
        </w:rPr>
        <w:t xml:space="preserve"> the engine of the agreement, expected to drive political momentum (Friedrich, 2017). Notably, </w:t>
      </w:r>
      <w:r w:rsidR="00974F2A">
        <w:rPr>
          <w:rFonts w:ascii="Times New Roman" w:eastAsia="Calibri" w:hAnsi="Times New Roman" w:cs="Times New Roman"/>
          <w:sz w:val="24"/>
          <w:szCs w:val="24"/>
          <w:lang w:val="en-US"/>
        </w:rPr>
        <w:t>the stocktake’s outcome</w:t>
      </w:r>
      <w:r w:rsidRPr="00F17126">
        <w:rPr>
          <w:rFonts w:ascii="Times New Roman" w:eastAsia="Calibri" w:hAnsi="Times New Roman" w:cs="Times New Roman"/>
          <w:sz w:val="24"/>
          <w:szCs w:val="24"/>
          <w:lang w:val="en-US"/>
        </w:rPr>
        <w:t xml:space="preserve"> “shall inform” </w:t>
      </w:r>
      <w:r w:rsidR="00777C40">
        <w:rPr>
          <w:rFonts w:ascii="Times New Roman" w:eastAsia="Calibri" w:hAnsi="Times New Roman" w:cs="Times New Roman"/>
          <w:sz w:val="24"/>
          <w:szCs w:val="24"/>
          <w:lang w:val="en-US"/>
        </w:rPr>
        <w:t>Parties</w:t>
      </w:r>
      <w:r w:rsidRPr="00F17126">
        <w:rPr>
          <w:rFonts w:ascii="Times New Roman" w:eastAsia="Calibri" w:hAnsi="Times New Roman" w:cs="Times New Roman"/>
          <w:sz w:val="24"/>
          <w:szCs w:val="24"/>
          <w:lang w:val="en-US"/>
        </w:rPr>
        <w:t xml:space="preserve"> in updating and enhancing their actions. The interpretation of “inform” will be crucial </w:t>
      </w:r>
      <w:r w:rsidRPr="00F17126">
        <w:rPr>
          <w:rFonts w:ascii="Times New Roman" w:eastAsia="Calibri" w:hAnsi="Times New Roman" w:cs="Times New Roman"/>
          <w:sz w:val="24"/>
          <w:szCs w:val="24"/>
          <w:lang w:val="en-US"/>
        </w:rPr>
        <w:lastRenderedPageBreak/>
        <w:t xml:space="preserve">for what role the stocktake will play in national processes. Friedrich (2017) argues it must entail some kind of action </w:t>
      </w:r>
      <w:r w:rsidR="00B04029">
        <w:rPr>
          <w:rFonts w:ascii="Times New Roman" w:eastAsia="Calibri" w:hAnsi="Times New Roman" w:cs="Times New Roman"/>
          <w:sz w:val="24"/>
          <w:szCs w:val="24"/>
          <w:lang w:val="en-US"/>
        </w:rPr>
        <w:t>by</w:t>
      </w:r>
      <w:r w:rsidRPr="00F17126">
        <w:rPr>
          <w:rFonts w:ascii="Times New Roman" w:eastAsia="Calibri" w:hAnsi="Times New Roman" w:cs="Times New Roman"/>
          <w:sz w:val="24"/>
          <w:szCs w:val="24"/>
          <w:lang w:val="en-US"/>
        </w:rPr>
        <w:t xml:space="preserve"> recipients.</w:t>
      </w:r>
    </w:p>
    <w:p w14:paraId="1058AF21" w14:textId="0B3DDC52" w:rsidR="000115C7" w:rsidRPr="00F17126" w:rsidRDefault="004F0B10" w:rsidP="009C477E">
      <w:pPr>
        <w:keepNext/>
        <w:keepLines/>
        <w:spacing w:after="120" w:line="360" w:lineRule="auto"/>
        <w:outlineLvl w:val="1"/>
        <w:rPr>
          <w:rFonts w:ascii="Times New Roman" w:eastAsia="Times New Roman" w:hAnsi="Times New Roman" w:cs="Times New Roman"/>
          <w:i/>
          <w:sz w:val="24"/>
          <w:szCs w:val="24"/>
          <w:lang w:val="en-US"/>
        </w:rPr>
      </w:pPr>
      <w:r w:rsidRPr="00F17126">
        <w:rPr>
          <w:rFonts w:ascii="Times New Roman" w:eastAsia="Times New Roman" w:hAnsi="Times New Roman" w:cs="Times New Roman"/>
          <w:i/>
          <w:sz w:val="24"/>
          <w:szCs w:val="24"/>
          <w:lang w:val="en-US"/>
        </w:rPr>
        <w:t xml:space="preserve">5.6 </w:t>
      </w:r>
      <w:r w:rsidR="000115C7" w:rsidRPr="00F17126">
        <w:rPr>
          <w:rFonts w:ascii="Times New Roman" w:eastAsia="Times New Roman" w:hAnsi="Times New Roman" w:cs="Times New Roman"/>
          <w:i/>
          <w:sz w:val="24"/>
          <w:szCs w:val="24"/>
          <w:lang w:val="en-US"/>
        </w:rPr>
        <w:t>Outlook</w:t>
      </w:r>
    </w:p>
    <w:p w14:paraId="35435011" w14:textId="3B318AB9" w:rsidR="000115C7" w:rsidRPr="00F17126" w:rsidRDefault="000115C7" w:rsidP="009C477E">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Due to the discrepancy between collective goals and aggregated effects of NDCs, </w:t>
      </w:r>
      <w:r w:rsidR="00431A6A">
        <w:rPr>
          <w:rFonts w:ascii="Times New Roman" w:eastAsia="Calibri" w:hAnsi="Times New Roman" w:cs="Times New Roman"/>
          <w:sz w:val="24"/>
          <w:szCs w:val="24"/>
          <w:lang w:val="en-US"/>
        </w:rPr>
        <w:t>the PA’s fate</w:t>
      </w:r>
      <w:r w:rsidRPr="00F17126">
        <w:rPr>
          <w:rFonts w:ascii="Times New Roman" w:eastAsia="Calibri" w:hAnsi="Times New Roman" w:cs="Times New Roman"/>
          <w:sz w:val="24"/>
          <w:szCs w:val="24"/>
          <w:lang w:val="en-US"/>
        </w:rPr>
        <w:t xml:space="preserve"> will be determined by mechanisms for ratcheting up ambition (Young, 2016; Doelle, 2017). </w:t>
      </w:r>
      <w:r w:rsidR="00431A6A">
        <w:rPr>
          <w:rFonts w:ascii="Times New Roman" w:eastAsia="Calibri" w:hAnsi="Times New Roman" w:cs="Times New Roman"/>
          <w:sz w:val="24"/>
          <w:szCs w:val="24"/>
          <w:lang w:val="en-US"/>
        </w:rPr>
        <w:t>Because</w:t>
      </w:r>
      <w:r w:rsidRPr="00F17126">
        <w:rPr>
          <w:rFonts w:ascii="Times New Roman" w:eastAsia="Calibri" w:hAnsi="Times New Roman" w:cs="Times New Roman"/>
          <w:sz w:val="24"/>
          <w:szCs w:val="24"/>
          <w:lang w:val="en-US"/>
        </w:rPr>
        <w:t xml:space="preserve"> the </w:t>
      </w:r>
      <w:r w:rsidR="00371D26"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’s approach to ratcheting up is novel, it represents a high</w:t>
      </w:r>
      <w:r w:rsidR="00371D26"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stakes experiment in multilateral cooperation (Doelle, 2017). Most scholars express caution when assessing </w:t>
      </w:r>
      <w:r w:rsidR="00E7243C" w:rsidRPr="00F17126">
        <w:rPr>
          <w:rFonts w:ascii="Times New Roman" w:eastAsia="Calibri" w:hAnsi="Times New Roman" w:cs="Times New Roman"/>
          <w:sz w:val="24"/>
          <w:szCs w:val="24"/>
          <w:lang w:val="en-US"/>
        </w:rPr>
        <w:t xml:space="preserve">the likelihood that the </w:t>
      </w:r>
      <w:r w:rsidR="00371D26" w:rsidRPr="00F17126">
        <w:rPr>
          <w:rFonts w:ascii="Times New Roman" w:eastAsia="Calibri" w:hAnsi="Times New Roman" w:cs="Times New Roman"/>
          <w:sz w:val="24"/>
          <w:szCs w:val="24"/>
          <w:lang w:val="en-US"/>
        </w:rPr>
        <w:t>a</w:t>
      </w:r>
      <w:r w:rsidR="00E7243C" w:rsidRPr="00F17126">
        <w:rPr>
          <w:rFonts w:ascii="Times New Roman" w:eastAsia="Calibri" w:hAnsi="Times New Roman" w:cs="Times New Roman"/>
          <w:sz w:val="24"/>
          <w:szCs w:val="24"/>
          <w:lang w:val="en-US"/>
        </w:rPr>
        <w:t>greement’s provisions will actually deliver sufficient ratcheting up</w:t>
      </w:r>
      <w:r w:rsidRPr="00F17126">
        <w:rPr>
          <w:rFonts w:ascii="Times New Roman" w:eastAsia="Calibri" w:hAnsi="Times New Roman" w:cs="Times New Roman"/>
          <w:sz w:val="24"/>
          <w:szCs w:val="24"/>
          <w:lang w:val="en-US"/>
        </w:rPr>
        <w:t xml:space="preserve">. The hope is that </w:t>
      </w:r>
      <w:r w:rsidR="00E7243C" w:rsidRPr="00F17126">
        <w:rPr>
          <w:rFonts w:ascii="Times New Roman" w:eastAsia="Calibri" w:hAnsi="Times New Roman" w:cs="Times New Roman"/>
          <w:sz w:val="24"/>
          <w:szCs w:val="24"/>
          <w:lang w:val="en-US"/>
        </w:rPr>
        <w:t xml:space="preserve">they </w:t>
      </w:r>
      <w:r w:rsidRPr="00F17126">
        <w:rPr>
          <w:rFonts w:ascii="Times New Roman" w:eastAsia="Calibri" w:hAnsi="Times New Roman" w:cs="Times New Roman"/>
          <w:sz w:val="24"/>
          <w:szCs w:val="24"/>
          <w:lang w:val="en-US"/>
        </w:rPr>
        <w:t>will foster “soft reciprocity</w:t>
      </w:r>
      <w:r w:rsidR="00E21EA4">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in which </w:t>
      </w:r>
      <w:r w:rsidR="00431A6A">
        <w:rPr>
          <w:rFonts w:ascii="Times New Roman" w:eastAsia="Calibri" w:hAnsi="Times New Roman" w:cs="Times New Roman"/>
          <w:sz w:val="24"/>
          <w:szCs w:val="24"/>
          <w:lang w:val="en-US"/>
        </w:rPr>
        <w:t>successfully implementing</w:t>
      </w:r>
      <w:r w:rsidRPr="00F17126">
        <w:rPr>
          <w:rFonts w:ascii="Times New Roman" w:eastAsia="Calibri" w:hAnsi="Times New Roman" w:cs="Times New Roman"/>
          <w:sz w:val="24"/>
          <w:szCs w:val="24"/>
          <w:lang w:val="en-US"/>
        </w:rPr>
        <w:t xml:space="preserve"> NDCs creates a positive spiral of trust and cooperation</w:t>
      </w:r>
      <w:r w:rsidR="00371D26" w:rsidRPr="00F17126">
        <w:rPr>
          <w:rFonts w:ascii="Times New Roman" w:eastAsia="Calibri" w:hAnsi="Times New Roman" w:cs="Times New Roman"/>
          <w:sz w:val="24"/>
          <w:szCs w:val="24"/>
          <w:lang w:val="en-US"/>
        </w:rPr>
        <w:t>. However</w:t>
      </w:r>
      <w:r w:rsidRPr="00F17126">
        <w:rPr>
          <w:rFonts w:ascii="Times New Roman" w:eastAsia="Calibri" w:hAnsi="Times New Roman" w:cs="Times New Roman"/>
          <w:sz w:val="24"/>
          <w:szCs w:val="24"/>
          <w:lang w:val="en-US"/>
        </w:rPr>
        <w:t xml:space="preserve">, the risk is that reviews </w:t>
      </w:r>
      <w:r w:rsidR="00371D26" w:rsidRPr="00F17126">
        <w:rPr>
          <w:rFonts w:ascii="Times New Roman" w:eastAsia="Calibri" w:hAnsi="Times New Roman" w:cs="Times New Roman"/>
          <w:sz w:val="24"/>
          <w:szCs w:val="24"/>
          <w:lang w:val="en-US"/>
        </w:rPr>
        <w:t xml:space="preserve">might </w:t>
      </w:r>
      <w:r w:rsidRPr="00F17126">
        <w:rPr>
          <w:rFonts w:ascii="Times New Roman" w:eastAsia="Calibri" w:hAnsi="Times New Roman" w:cs="Times New Roman"/>
          <w:sz w:val="24"/>
          <w:szCs w:val="24"/>
          <w:lang w:val="en-US"/>
        </w:rPr>
        <w:t>reveal implementation gaps</w:t>
      </w:r>
      <w:r w:rsidR="00371D26" w:rsidRPr="00F17126">
        <w:rPr>
          <w:rFonts w:ascii="Times New Roman" w:eastAsia="Calibri" w:hAnsi="Times New Roman" w:cs="Times New Roman"/>
          <w:sz w:val="24"/>
          <w:szCs w:val="24"/>
          <w:lang w:val="en-US"/>
        </w:rPr>
        <w:t xml:space="preserve"> that could</w:t>
      </w:r>
      <w:r w:rsidRPr="00F17126">
        <w:rPr>
          <w:rFonts w:ascii="Times New Roman" w:eastAsia="Calibri" w:hAnsi="Times New Roman" w:cs="Times New Roman"/>
          <w:sz w:val="24"/>
          <w:szCs w:val="24"/>
          <w:lang w:val="en-US"/>
        </w:rPr>
        <w:t xml:space="preserve"> create a negative spiral of weakening trust and </w:t>
      </w:r>
      <w:r w:rsidR="00371D26" w:rsidRPr="00F17126">
        <w:rPr>
          <w:rFonts w:ascii="Times New Roman" w:eastAsia="Calibri" w:hAnsi="Times New Roman" w:cs="Times New Roman"/>
          <w:sz w:val="24"/>
          <w:szCs w:val="24"/>
          <w:lang w:val="en-US"/>
        </w:rPr>
        <w:t>declining</w:t>
      </w:r>
      <w:r w:rsidRPr="00F17126">
        <w:rPr>
          <w:rFonts w:ascii="Times New Roman" w:eastAsia="Calibri" w:hAnsi="Times New Roman" w:cs="Times New Roman"/>
          <w:sz w:val="24"/>
          <w:szCs w:val="24"/>
          <w:lang w:val="en-US"/>
        </w:rPr>
        <w:t xml:space="preserve"> ambition (Falkner, 2016). Young (2016) warns that </w:t>
      </w:r>
      <w:r w:rsidR="007C7E85">
        <w:rPr>
          <w:rFonts w:ascii="Times New Roman" w:eastAsia="Calibri" w:hAnsi="Times New Roman" w:cs="Times New Roman"/>
          <w:sz w:val="24"/>
          <w:szCs w:val="24"/>
          <w:lang w:val="en-US"/>
        </w:rPr>
        <w:t xml:space="preserve">the </w:t>
      </w:r>
      <w:r w:rsidRPr="00F17126">
        <w:rPr>
          <w:rFonts w:ascii="Times New Roman" w:eastAsia="Calibri" w:hAnsi="Times New Roman" w:cs="Times New Roman"/>
          <w:sz w:val="24"/>
          <w:szCs w:val="24"/>
          <w:lang w:val="en-US"/>
        </w:rPr>
        <w:t>mechanisms for str</w:t>
      </w:r>
      <w:r w:rsidR="00371D26" w:rsidRPr="00F17126">
        <w:rPr>
          <w:rFonts w:ascii="Times New Roman" w:eastAsia="Calibri" w:hAnsi="Times New Roman" w:cs="Times New Roman"/>
          <w:sz w:val="24"/>
          <w:szCs w:val="24"/>
          <w:lang w:val="en-US"/>
        </w:rPr>
        <w:t>engthening commitments seem ill-defined</w:t>
      </w:r>
      <w:r w:rsidRPr="00F17126">
        <w:rPr>
          <w:rFonts w:ascii="Times New Roman" w:eastAsia="Calibri" w:hAnsi="Times New Roman" w:cs="Times New Roman"/>
          <w:sz w:val="24"/>
          <w:szCs w:val="24"/>
          <w:lang w:val="en-US"/>
        </w:rPr>
        <w:t xml:space="preserve"> and weak, and that efforts to </w:t>
      </w:r>
      <w:r w:rsidR="00371D26" w:rsidRPr="00F17126">
        <w:rPr>
          <w:rFonts w:ascii="Times New Roman" w:eastAsia="Calibri" w:hAnsi="Times New Roman" w:cs="Times New Roman"/>
          <w:sz w:val="24"/>
          <w:szCs w:val="24"/>
          <w:lang w:val="en-US"/>
        </w:rPr>
        <w:t>remedy them</w:t>
      </w:r>
      <w:r w:rsidRPr="00F17126">
        <w:rPr>
          <w:rFonts w:ascii="Times New Roman" w:eastAsia="Calibri" w:hAnsi="Times New Roman" w:cs="Times New Roman"/>
          <w:sz w:val="24"/>
          <w:szCs w:val="24"/>
          <w:lang w:val="en-US"/>
        </w:rPr>
        <w:t xml:space="preserve"> could easily break down in mutual recriminations</w:t>
      </w:r>
      <w:r w:rsidR="00371D26"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w:t>
      </w:r>
      <w:r w:rsidR="00371D26" w:rsidRPr="00F17126">
        <w:rPr>
          <w:rFonts w:ascii="Times New Roman" w:eastAsia="Calibri" w:hAnsi="Times New Roman" w:cs="Times New Roman"/>
          <w:sz w:val="24"/>
          <w:szCs w:val="24"/>
          <w:lang w:val="en-US"/>
        </w:rPr>
        <w:t>T</w:t>
      </w:r>
      <w:r w:rsidRPr="00F17126">
        <w:rPr>
          <w:rFonts w:ascii="Times New Roman" w:eastAsia="Calibri" w:hAnsi="Times New Roman" w:cs="Times New Roman"/>
          <w:sz w:val="24"/>
          <w:szCs w:val="24"/>
          <w:lang w:val="en-US"/>
        </w:rPr>
        <w:t>hus</w:t>
      </w:r>
      <w:r w:rsidR="00371D26" w:rsidRPr="00F17126">
        <w:rPr>
          <w:rFonts w:ascii="Times New Roman" w:eastAsia="Calibri" w:hAnsi="Times New Roman" w:cs="Times New Roman"/>
          <w:sz w:val="24"/>
          <w:szCs w:val="24"/>
          <w:lang w:val="en-US"/>
        </w:rPr>
        <w:t>,</w:t>
      </w:r>
      <w:r w:rsidRPr="00F17126">
        <w:rPr>
          <w:rFonts w:ascii="Times New Roman" w:eastAsia="Calibri" w:hAnsi="Times New Roman" w:cs="Times New Roman"/>
          <w:sz w:val="24"/>
          <w:szCs w:val="24"/>
          <w:lang w:val="en-US"/>
        </w:rPr>
        <w:t xml:space="preserve"> it would not be surprising if the </w:t>
      </w:r>
      <w:r w:rsidR="00371D26" w:rsidRPr="00F17126">
        <w:rPr>
          <w:rFonts w:ascii="Times New Roman" w:eastAsia="Calibri" w:hAnsi="Times New Roman" w:cs="Times New Roman"/>
          <w:sz w:val="24"/>
          <w:szCs w:val="24"/>
          <w:lang w:val="en-US"/>
        </w:rPr>
        <w:t>a</w:t>
      </w:r>
      <w:r w:rsidRPr="00F17126">
        <w:rPr>
          <w:rFonts w:ascii="Times New Roman" w:eastAsia="Calibri" w:hAnsi="Times New Roman" w:cs="Times New Roman"/>
          <w:sz w:val="24"/>
          <w:szCs w:val="24"/>
          <w:lang w:val="en-US"/>
        </w:rPr>
        <w:t xml:space="preserve">greement fails. Keohane </w:t>
      </w:r>
      <w:r w:rsidR="00E21EA4">
        <w:rPr>
          <w:rFonts w:ascii="Times New Roman" w:eastAsia="Calibri" w:hAnsi="Times New Roman" w:cs="Times New Roman"/>
          <w:sz w:val="24"/>
          <w:szCs w:val="24"/>
          <w:lang w:val="en-US"/>
        </w:rPr>
        <w:t>and</w:t>
      </w:r>
      <w:r w:rsidRPr="00F17126">
        <w:rPr>
          <w:rFonts w:ascii="Times New Roman" w:eastAsia="Calibri" w:hAnsi="Times New Roman" w:cs="Times New Roman"/>
          <w:sz w:val="24"/>
          <w:szCs w:val="24"/>
          <w:lang w:val="en-US"/>
        </w:rPr>
        <w:t xml:space="preserve"> Victor (2016) predict that without new incentives for climate action, collaboration is firmly stuck on easy coordination. Simulations of political dynamics under the </w:t>
      </w:r>
      <w:r w:rsidR="00820E85" w:rsidRPr="00F17126">
        <w:rPr>
          <w:rFonts w:ascii="Times New Roman" w:eastAsia="Calibri" w:hAnsi="Times New Roman" w:cs="Times New Roman"/>
          <w:sz w:val="24"/>
          <w:szCs w:val="24"/>
          <w:lang w:val="en-US"/>
        </w:rPr>
        <w:t>PA</w:t>
      </w:r>
      <w:r w:rsidRPr="00F17126">
        <w:rPr>
          <w:rFonts w:ascii="Times New Roman" w:eastAsia="Calibri" w:hAnsi="Times New Roman" w:cs="Times New Roman"/>
          <w:sz w:val="24"/>
          <w:szCs w:val="24"/>
          <w:lang w:val="en-US"/>
        </w:rPr>
        <w:t xml:space="preserve"> also find that it is unlikely to endogenously deliver sufficient ambition ramp-up to achieve the </w:t>
      </w:r>
      <w:bookmarkStart w:id="2" w:name="_Hlk515445692"/>
      <w:r w:rsidRPr="00F17126">
        <w:rPr>
          <w:rFonts w:ascii="Times New Roman" w:eastAsia="Calibri" w:hAnsi="Times New Roman" w:cs="Times New Roman"/>
          <w:sz w:val="24"/>
          <w:szCs w:val="24"/>
          <w:lang w:val="en-US"/>
        </w:rPr>
        <w:t>2°</w:t>
      </w:r>
      <w:r w:rsidR="00371D26" w:rsidRPr="00F17126">
        <w:rPr>
          <w:rFonts w:ascii="Times New Roman" w:eastAsia="Calibri" w:hAnsi="Times New Roman" w:cs="Times New Roman"/>
          <w:sz w:val="24"/>
          <w:szCs w:val="24"/>
          <w:lang w:val="en-US"/>
        </w:rPr>
        <w:t xml:space="preserve"> </w:t>
      </w:r>
      <w:r w:rsidRPr="00F17126">
        <w:rPr>
          <w:rFonts w:ascii="Times New Roman" w:eastAsia="Calibri" w:hAnsi="Times New Roman" w:cs="Times New Roman"/>
          <w:sz w:val="24"/>
          <w:szCs w:val="24"/>
          <w:lang w:val="en-US"/>
        </w:rPr>
        <w:t>C goal</w:t>
      </w:r>
      <w:bookmarkEnd w:id="2"/>
      <w:r w:rsidRPr="00F17126">
        <w:rPr>
          <w:rFonts w:ascii="Times New Roman" w:eastAsia="Calibri" w:hAnsi="Times New Roman" w:cs="Times New Roman"/>
          <w:sz w:val="24"/>
          <w:szCs w:val="24"/>
          <w:lang w:val="en-US"/>
        </w:rPr>
        <w:t>, even under very optimistic assumptions (Sælen, forthcoming).</w:t>
      </w:r>
    </w:p>
    <w:p w14:paraId="72637629" w14:textId="77777777" w:rsidR="00A3303E" w:rsidRPr="00F17126" w:rsidRDefault="00A3303E" w:rsidP="009C477E">
      <w:pPr>
        <w:spacing w:after="120" w:line="360" w:lineRule="auto"/>
        <w:rPr>
          <w:rFonts w:ascii="Times New Roman" w:hAnsi="Times New Roman" w:cs="Times New Roman"/>
          <w:b/>
          <w:sz w:val="24"/>
          <w:szCs w:val="24"/>
          <w:lang w:val="en-US"/>
        </w:rPr>
      </w:pPr>
    </w:p>
    <w:p w14:paraId="6CB908DD" w14:textId="77777777" w:rsidR="001B7B3A" w:rsidRPr="00F17126" w:rsidRDefault="00590D22" w:rsidP="009C477E">
      <w:pPr>
        <w:spacing w:after="120"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t>6</w:t>
      </w:r>
      <w:r w:rsidR="000115C7" w:rsidRPr="00F17126">
        <w:rPr>
          <w:rFonts w:ascii="Times New Roman" w:hAnsi="Times New Roman" w:cs="Times New Roman"/>
          <w:b/>
          <w:sz w:val="24"/>
          <w:szCs w:val="24"/>
          <w:lang w:val="en-US"/>
        </w:rPr>
        <w:t xml:space="preserve">. </w:t>
      </w:r>
      <w:r w:rsidR="00976B26" w:rsidRPr="00F17126">
        <w:rPr>
          <w:rFonts w:ascii="Times New Roman" w:hAnsi="Times New Roman" w:cs="Times New Roman"/>
          <w:b/>
          <w:sz w:val="24"/>
          <w:szCs w:val="24"/>
          <w:lang w:val="en-US"/>
        </w:rPr>
        <w:t>Compliance</w:t>
      </w:r>
    </w:p>
    <w:p w14:paraId="1195FDCD" w14:textId="7F5D1670" w:rsidR="00FA4F60" w:rsidRPr="00F17126" w:rsidRDefault="00FA4F60" w:rsidP="00FA4F60">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Our </w:t>
      </w:r>
      <w:r w:rsidR="0032091D" w:rsidRPr="00F17126">
        <w:rPr>
          <w:rFonts w:ascii="Times New Roman" w:hAnsi="Times New Roman" w:cs="Times New Roman"/>
          <w:sz w:val="24"/>
          <w:szCs w:val="24"/>
          <w:lang w:val="en-US"/>
        </w:rPr>
        <w:t>discussion of the trilemma (</w:t>
      </w:r>
      <w:r w:rsidRPr="00F17126">
        <w:rPr>
          <w:rFonts w:ascii="Times New Roman" w:hAnsi="Times New Roman" w:cs="Times New Roman"/>
          <w:sz w:val="24"/>
          <w:szCs w:val="24"/>
          <w:lang w:val="en-US"/>
        </w:rPr>
        <w:t xml:space="preserve">section </w:t>
      </w:r>
      <w:r w:rsidR="007C7E85">
        <w:rPr>
          <w:rFonts w:ascii="Times New Roman" w:hAnsi="Times New Roman" w:cs="Times New Roman"/>
          <w:sz w:val="24"/>
          <w:szCs w:val="24"/>
          <w:lang w:val="en-US"/>
        </w:rPr>
        <w:t>3</w:t>
      </w:r>
      <w:r w:rsidRPr="00F17126">
        <w:rPr>
          <w:rFonts w:ascii="Times New Roman" w:hAnsi="Times New Roman" w:cs="Times New Roman"/>
          <w:sz w:val="24"/>
          <w:szCs w:val="24"/>
          <w:lang w:val="en-US"/>
        </w:rPr>
        <w:t>) is compatible with the frequently made observation that (full) compliance is neither a necessary nor a sufficient condition for effectiveness (Mitchell</w:t>
      </w:r>
      <w:r w:rsidR="00371D26" w:rsidRPr="00F17126">
        <w:rPr>
          <w:rFonts w:ascii="Times New Roman" w:hAnsi="Times New Roman" w:cs="Times New Roman"/>
          <w:sz w:val="24"/>
          <w:szCs w:val="24"/>
          <w:lang w:val="en-US"/>
        </w:rPr>
        <w:t>, 2008</w:t>
      </w:r>
      <w:r w:rsidRPr="00F17126">
        <w:rPr>
          <w:rFonts w:ascii="Times New Roman" w:hAnsi="Times New Roman" w:cs="Times New Roman"/>
          <w:sz w:val="24"/>
          <w:szCs w:val="24"/>
          <w:lang w:val="en-US"/>
        </w:rPr>
        <w:t>; Victor</w:t>
      </w:r>
      <w:r w:rsidR="00371D26"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2011). However, no agreement can be very effective unless it achieves a reasonable degree of compliance. Moreover, for any given combination of participation level and commitment depth, the </w:t>
      </w:r>
      <w:r w:rsidR="00D465AF" w:rsidRPr="00F17126">
        <w:rPr>
          <w:rFonts w:ascii="Times New Roman" w:hAnsi="Times New Roman" w:cs="Times New Roman"/>
          <w:sz w:val="24"/>
          <w:szCs w:val="24"/>
          <w:lang w:val="en-US"/>
        </w:rPr>
        <w:t>bett</w:t>
      </w:r>
      <w:r w:rsidRPr="00F17126">
        <w:rPr>
          <w:rFonts w:ascii="Times New Roman" w:hAnsi="Times New Roman" w:cs="Times New Roman"/>
          <w:sz w:val="24"/>
          <w:szCs w:val="24"/>
          <w:lang w:val="en-US"/>
        </w:rPr>
        <w:t>er the compliance rate, the higher the agreement’s effectiveness.</w:t>
      </w:r>
    </w:p>
    <w:p w14:paraId="42364A29" w14:textId="6D03445B" w:rsidR="00976B26" w:rsidRPr="00F17126" w:rsidRDefault="00B945C4" w:rsidP="009C477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PA’s context</w:t>
      </w:r>
      <w:r w:rsidR="009C40CA" w:rsidRPr="00F17126">
        <w:rPr>
          <w:rFonts w:ascii="Times New Roman" w:hAnsi="Times New Roman" w:cs="Times New Roman"/>
          <w:sz w:val="24"/>
          <w:szCs w:val="24"/>
          <w:lang w:val="en-US"/>
        </w:rPr>
        <w:t xml:space="preserve">, </w:t>
      </w:r>
      <w:r w:rsidR="005C1D57">
        <w:rPr>
          <w:rFonts w:ascii="Times New Roman" w:hAnsi="Times New Roman" w:cs="Times New Roman"/>
          <w:sz w:val="24"/>
          <w:szCs w:val="24"/>
          <w:lang w:val="en-US"/>
        </w:rPr>
        <w:t>“</w:t>
      </w:r>
      <w:r w:rsidR="009C40CA" w:rsidRPr="00F17126">
        <w:rPr>
          <w:rFonts w:ascii="Times New Roman" w:hAnsi="Times New Roman" w:cs="Times New Roman"/>
          <w:sz w:val="24"/>
          <w:szCs w:val="24"/>
          <w:lang w:val="en-US"/>
        </w:rPr>
        <w:t>compliance</w:t>
      </w:r>
      <w:r w:rsidR="005C1D57">
        <w:rPr>
          <w:rFonts w:ascii="Times New Roman" w:hAnsi="Times New Roman" w:cs="Times New Roman"/>
          <w:sz w:val="24"/>
          <w:szCs w:val="24"/>
          <w:lang w:val="en-US"/>
        </w:rPr>
        <w:t>”</w:t>
      </w:r>
      <w:r w:rsidR="009C40CA" w:rsidRPr="00F17126">
        <w:rPr>
          <w:rFonts w:ascii="Times New Roman" w:hAnsi="Times New Roman" w:cs="Times New Roman"/>
          <w:sz w:val="24"/>
          <w:szCs w:val="24"/>
          <w:lang w:val="en-US"/>
        </w:rPr>
        <w:t xml:space="preserve"> may be defined as the action or process of (1) abiding by the agreement’s procedural regulations and (2) fulfilling </w:t>
      </w:r>
      <w:r w:rsidR="006C0350" w:rsidRPr="00F17126">
        <w:rPr>
          <w:rFonts w:ascii="Times New Roman" w:hAnsi="Times New Roman" w:cs="Times New Roman"/>
          <w:sz w:val="24"/>
          <w:szCs w:val="24"/>
          <w:lang w:val="en-US"/>
        </w:rPr>
        <w:t>NDC</w:t>
      </w:r>
      <w:r w:rsidR="009309D4" w:rsidRPr="00F17126">
        <w:rPr>
          <w:rFonts w:ascii="Times New Roman" w:hAnsi="Times New Roman" w:cs="Times New Roman"/>
          <w:sz w:val="24"/>
          <w:szCs w:val="24"/>
          <w:lang w:val="en-US"/>
        </w:rPr>
        <w:t xml:space="preserve">s </w:t>
      </w:r>
      <w:r w:rsidR="006C0350" w:rsidRPr="00F17126">
        <w:rPr>
          <w:rFonts w:ascii="Times New Roman" w:hAnsi="Times New Roman" w:cs="Times New Roman"/>
          <w:sz w:val="24"/>
          <w:szCs w:val="24"/>
          <w:lang w:val="en-US"/>
        </w:rPr>
        <w:t>concerning</w:t>
      </w:r>
      <w:r w:rsidR="009C40CA" w:rsidRPr="00F17126">
        <w:rPr>
          <w:rFonts w:ascii="Times New Roman" w:hAnsi="Times New Roman" w:cs="Times New Roman"/>
          <w:sz w:val="24"/>
          <w:szCs w:val="24"/>
          <w:lang w:val="en-US"/>
        </w:rPr>
        <w:t xml:space="preserve"> emissions </w:t>
      </w:r>
      <w:r w:rsidR="00D90962" w:rsidRPr="00F17126">
        <w:rPr>
          <w:rFonts w:ascii="Times New Roman" w:hAnsi="Times New Roman" w:cs="Times New Roman"/>
          <w:sz w:val="24"/>
          <w:szCs w:val="24"/>
          <w:lang w:val="en-US"/>
        </w:rPr>
        <w:t xml:space="preserve">reductions (or </w:t>
      </w:r>
      <w:r w:rsidR="009C40CA" w:rsidRPr="00F17126">
        <w:rPr>
          <w:rFonts w:ascii="Times New Roman" w:hAnsi="Times New Roman" w:cs="Times New Roman"/>
          <w:sz w:val="24"/>
          <w:szCs w:val="24"/>
          <w:lang w:val="en-US"/>
        </w:rPr>
        <w:t>limitations</w:t>
      </w:r>
      <w:r w:rsidR="00D90962" w:rsidRPr="00F17126">
        <w:rPr>
          <w:rFonts w:ascii="Times New Roman" w:hAnsi="Times New Roman" w:cs="Times New Roman"/>
          <w:sz w:val="24"/>
          <w:szCs w:val="24"/>
          <w:lang w:val="en-US"/>
        </w:rPr>
        <w:t>)</w:t>
      </w:r>
      <w:r w:rsidR="009C40CA" w:rsidRPr="00F17126">
        <w:rPr>
          <w:rFonts w:ascii="Times New Roman" w:hAnsi="Times New Roman" w:cs="Times New Roman"/>
          <w:sz w:val="24"/>
          <w:szCs w:val="24"/>
          <w:lang w:val="en-US"/>
        </w:rPr>
        <w:t>.</w:t>
      </w:r>
      <w:r w:rsidR="00F525C8" w:rsidRPr="0009104A">
        <w:rPr>
          <w:rStyle w:val="FootnoteReference"/>
          <w:rFonts w:ascii="Times New Roman" w:hAnsi="Times New Roman" w:cs="Times New Roman"/>
          <w:sz w:val="24"/>
          <w:szCs w:val="24"/>
          <w:lang w:val="en-US"/>
        </w:rPr>
        <w:footnoteReference w:id="4"/>
      </w:r>
      <w:r w:rsidR="00F525C8">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009C40CA" w:rsidRPr="00F17126">
        <w:rPr>
          <w:rFonts w:ascii="Times New Roman" w:hAnsi="Times New Roman" w:cs="Times New Roman"/>
          <w:sz w:val="24"/>
          <w:szCs w:val="24"/>
          <w:lang w:val="en-US"/>
        </w:rPr>
        <w:t xml:space="preserve">egally binding aspects of the agreement largely concern </w:t>
      </w:r>
      <w:r w:rsidR="005412FC" w:rsidRPr="00F17126">
        <w:rPr>
          <w:rFonts w:ascii="Times New Roman" w:hAnsi="Times New Roman" w:cs="Times New Roman"/>
          <w:sz w:val="24"/>
          <w:szCs w:val="24"/>
          <w:lang w:val="en-US"/>
        </w:rPr>
        <w:t>(1)</w:t>
      </w:r>
      <w:r w:rsidR="009C40CA" w:rsidRPr="00F17126">
        <w:rPr>
          <w:rFonts w:ascii="Times New Roman" w:hAnsi="Times New Roman" w:cs="Times New Roman"/>
          <w:sz w:val="24"/>
          <w:szCs w:val="24"/>
          <w:lang w:val="en-US"/>
        </w:rPr>
        <w:t xml:space="preserve">, </w:t>
      </w:r>
      <w:r w:rsidR="005412FC" w:rsidRPr="00F17126">
        <w:rPr>
          <w:rFonts w:ascii="Times New Roman" w:hAnsi="Times New Roman" w:cs="Times New Roman"/>
          <w:sz w:val="24"/>
          <w:szCs w:val="24"/>
          <w:lang w:val="en-US"/>
        </w:rPr>
        <w:lastRenderedPageBreak/>
        <w:t xml:space="preserve">while </w:t>
      </w:r>
      <w:r w:rsidR="009309D4" w:rsidRPr="00F17126">
        <w:rPr>
          <w:rFonts w:ascii="Times New Roman" w:hAnsi="Times New Roman" w:cs="Times New Roman"/>
          <w:sz w:val="24"/>
          <w:szCs w:val="24"/>
          <w:lang w:val="en-US"/>
        </w:rPr>
        <w:t>provisions</w:t>
      </w:r>
      <w:r w:rsidR="000B27D8" w:rsidRPr="00F17126">
        <w:rPr>
          <w:rFonts w:ascii="Times New Roman" w:hAnsi="Times New Roman" w:cs="Times New Roman"/>
          <w:sz w:val="24"/>
          <w:szCs w:val="24"/>
          <w:lang w:val="en-US"/>
        </w:rPr>
        <w:t xml:space="preserve"> relating to </w:t>
      </w:r>
      <w:r w:rsidR="005412FC" w:rsidRPr="00F17126">
        <w:rPr>
          <w:rFonts w:ascii="Times New Roman" w:hAnsi="Times New Roman" w:cs="Times New Roman"/>
          <w:sz w:val="24"/>
          <w:szCs w:val="24"/>
          <w:lang w:val="en-US"/>
        </w:rPr>
        <w:t xml:space="preserve">(2) are </w:t>
      </w:r>
      <w:r w:rsidR="00D260E0" w:rsidRPr="00F17126">
        <w:rPr>
          <w:rFonts w:ascii="Times New Roman" w:hAnsi="Times New Roman" w:cs="Times New Roman"/>
          <w:sz w:val="24"/>
          <w:szCs w:val="24"/>
          <w:lang w:val="en-US"/>
        </w:rPr>
        <w:t xml:space="preserve">typically </w:t>
      </w:r>
      <w:r w:rsidR="005412FC" w:rsidRPr="00F17126">
        <w:rPr>
          <w:rFonts w:ascii="Times New Roman" w:hAnsi="Times New Roman" w:cs="Times New Roman"/>
          <w:sz w:val="24"/>
          <w:szCs w:val="24"/>
          <w:lang w:val="en-US"/>
        </w:rPr>
        <w:t xml:space="preserve">of a </w:t>
      </w:r>
      <w:r w:rsidR="00131B35" w:rsidRPr="00F17126">
        <w:rPr>
          <w:rFonts w:ascii="Times New Roman" w:hAnsi="Times New Roman" w:cs="Times New Roman"/>
          <w:sz w:val="24"/>
          <w:szCs w:val="24"/>
          <w:lang w:val="en-US"/>
        </w:rPr>
        <w:t>“</w:t>
      </w:r>
      <w:r w:rsidR="007D00A4" w:rsidRPr="00F17126">
        <w:rPr>
          <w:rFonts w:ascii="Times New Roman" w:hAnsi="Times New Roman" w:cs="Times New Roman"/>
          <w:sz w:val="24"/>
          <w:szCs w:val="24"/>
          <w:lang w:val="en-US"/>
        </w:rPr>
        <w:t>soft</w:t>
      </w:r>
      <w:r w:rsidR="00131B35" w:rsidRPr="00F17126">
        <w:rPr>
          <w:rFonts w:ascii="Times New Roman" w:hAnsi="Times New Roman" w:cs="Times New Roman"/>
          <w:sz w:val="24"/>
          <w:szCs w:val="24"/>
          <w:lang w:val="en-US"/>
        </w:rPr>
        <w:t>”</w:t>
      </w:r>
      <w:r w:rsidR="005412FC" w:rsidRPr="00F17126">
        <w:rPr>
          <w:rFonts w:ascii="Times New Roman" w:hAnsi="Times New Roman" w:cs="Times New Roman"/>
          <w:sz w:val="24"/>
          <w:szCs w:val="24"/>
          <w:lang w:val="en-US"/>
        </w:rPr>
        <w:t xml:space="preserve"> nature</w:t>
      </w:r>
      <w:r w:rsidR="007D00A4" w:rsidRPr="00F17126">
        <w:rPr>
          <w:rFonts w:ascii="Times New Roman" w:hAnsi="Times New Roman" w:cs="Times New Roman"/>
          <w:sz w:val="24"/>
          <w:szCs w:val="24"/>
          <w:lang w:val="en-US"/>
        </w:rPr>
        <w:t>.</w:t>
      </w:r>
      <w:r w:rsidR="00544D8A" w:rsidRPr="0009104A">
        <w:rPr>
          <w:rStyle w:val="FootnoteReference"/>
          <w:rFonts w:ascii="Times New Roman" w:hAnsi="Times New Roman" w:cs="Times New Roman"/>
          <w:sz w:val="24"/>
          <w:szCs w:val="24"/>
          <w:lang w:val="en-US"/>
        </w:rPr>
        <w:footnoteReference w:id="5"/>
      </w:r>
      <w:r w:rsidR="00544D8A" w:rsidRPr="0009104A">
        <w:rPr>
          <w:rFonts w:ascii="Times New Roman" w:hAnsi="Times New Roman" w:cs="Times New Roman"/>
          <w:sz w:val="24"/>
          <w:szCs w:val="24"/>
          <w:lang w:val="en-US"/>
        </w:rPr>
        <w:t xml:space="preserve"> </w:t>
      </w:r>
      <w:r w:rsidR="00CE6A81" w:rsidRPr="00F17126">
        <w:rPr>
          <w:rFonts w:ascii="Times New Roman" w:hAnsi="Times New Roman" w:cs="Times New Roman"/>
          <w:sz w:val="24"/>
          <w:szCs w:val="24"/>
          <w:lang w:val="en-US"/>
        </w:rPr>
        <w:t>It</w:t>
      </w:r>
      <w:r w:rsidR="007D00A4" w:rsidRPr="00F17126">
        <w:rPr>
          <w:rFonts w:ascii="Times New Roman" w:hAnsi="Times New Roman" w:cs="Times New Roman"/>
          <w:sz w:val="24"/>
          <w:szCs w:val="24"/>
          <w:lang w:val="en-US"/>
        </w:rPr>
        <w:t xml:space="preserve"> is </w:t>
      </w:r>
      <w:r w:rsidR="00CE6A81" w:rsidRPr="00F17126">
        <w:rPr>
          <w:rFonts w:ascii="Times New Roman" w:hAnsi="Times New Roman" w:cs="Times New Roman"/>
          <w:sz w:val="24"/>
          <w:szCs w:val="24"/>
          <w:lang w:val="en-US"/>
        </w:rPr>
        <w:t xml:space="preserve">therefore </w:t>
      </w:r>
      <w:r w:rsidR="007D00A4" w:rsidRPr="00F17126">
        <w:rPr>
          <w:rFonts w:ascii="Times New Roman" w:hAnsi="Times New Roman" w:cs="Times New Roman"/>
          <w:sz w:val="24"/>
          <w:szCs w:val="24"/>
          <w:lang w:val="en-US"/>
        </w:rPr>
        <w:t xml:space="preserve">largely unsurprising that the </w:t>
      </w:r>
      <w:r w:rsidR="00777C40">
        <w:rPr>
          <w:rFonts w:ascii="Times New Roman" w:hAnsi="Times New Roman" w:cs="Times New Roman"/>
          <w:sz w:val="24"/>
          <w:szCs w:val="24"/>
          <w:lang w:val="en-US"/>
        </w:rPr>
        <w:t>Parties</w:t>
      </w:r>
      <w:r w:rsidR="007D00A4" w:rsidRPr="00F17126">
        <w:rPr>
          <w:rFonts w:ascii="Times New Roman" w:hAnsi="Times New Roman" w:cs="Times New Roman"/>
          <w:sz w:val="24"/>
          <w:szCs w:val="24"/>
          <w:lang w:val="en-US"/>
        </w:rPr>
        <w:t xml:space="preserve"> </w:t>
      </w:r>
      <w:r w:rsidR="00CE6A81" w:rsidRPr="00F17126">
        <w:rPr>
          <w:rFonts w:ascii="Times New Roman" w:hAnsi="Times New Roman" w:cs="Times New Roman"/>
          <w:sz w:val="24"/>
          <w:szCs w:val="24"/>
          <w:lang w:val="en-US"/>
        </w:rPr>
        <w:t xml:space="preserve">decided in favor of a managerial approach rather than </w:t>
      </w:r>
      <w:r w:rsidR="007D00A4" w:rsidRPr="00F17126">
        <w:rPr>
          <w:rFonts w:ascii="Times New Roman" w:hAnsi="Times New Roman" w:cs="Times New Roman"/>
          <w:sz w:val="24"/>
          <w:szCs w:val="24"/>
          <w:lang w:val="en-US"/>
        </w:rPr>
        <w:t xml:space="preserve">a strong </w:t>
      </w:r>
      <w:r w:rsidR="005412FC" w:rsidRPr="00F17126">
        <w:rPr>
          <w:rFonts w:ascii="Times New Roman" w:hAnsi="Times New Roman" w:cs="Times New Roman"/>
          <w:sz w:val="24"/>
          <w:szCs w:val="24"/>
          <w:lang w:val="en-US"/>
        </w:rPr>
        <w:t>mechanism for promoting implemen</w:t>
      </w:r>
      <w:r w:rsidR="007D00A4" w:rsidRPr="00F17126">
        <w:rPr>
          <w:rFonts w:ascii="Times New Roman" w:hAnsi="Times New Roman" w:cs="Times New Roman"/>
          <w:sz w:val="24"/>
          <w:szCs w:val="24"/>
          <w:lang w:val="en-US"/>
        </w:rPr>
        <w:t>tation and compliance</w:t>
      </w:r>
      <w:r w:rsidR="00CE6A81" w:rsidRPr="00F17126">
        <w:rPr>
          <w:rFonts w:ascii="Times New Roman" w:hAnsi="Times New Roman" w:cs="Times New Roman"/>
          <w:sz w:val="24"/>
          <w:szCs w:val="24"/>
          <w:lang w:val="en-US"/>
        </w:rPr>
        <w:t xml:space="preserve"> (Doelle</w:t>
      </w:r>
      <w:r w:rsidR="00131B35" w:rsidRPr="00F17126">
        <w:rPr>
          <w:rFonts w:ascii="Times New Roman" w:hAnsi="Times New Roman" w:cs="Times New Roman"/>
          <w:sz w:val="24"/>
          <w:szCs w:val="24"/>
          <w:lang w:val="en-US"/>
        </w:rPr>
        <w:t>,</w:t>
      </w:r>
      <w:r w:rsidR="00CE6A81" w:rsidRPr="00F17126">
        <w:rPr>
          <w:rFonts w:ascii="Times New Roman" w:hAnsi="Times New Roman" w:cs="Times New Roman"/>
          <w:sz w:val="24"/>
          <w:szCs w:val="24"/>
          <w:lang w:val="en-US"/>
        </w:rPr>
        <w:t xml:space="preserve"> 2017</w:t>
      </w:r>
      <w:r w:rsidR="00610246">
        <w:rPr>
          <w:rFonts w:ascii="Times New Roman" w:hAnsi="Times New Roman" w:cs="Times New Roman"/>
          <w:sz w:val="24"/>
          <w:szCs w:val="24"/>
          <w:lang w:val="en-US"/>
        </w:rPr>
        <w:t>, p.</w:t>
      </w:r>
      <w:r w:rsidR="00CE6A81" w:rsidRPr="00F17126">
        <w:rPr>
          <w:rFonts w:ascii="Times New Roman" w:hAnsi="Times New Roman" w:cs="Times New Roman"/>
          <w:sz w:val="24"/>
          <w:szCs w:val="24"/>
          <w:lang w:val="en-US"/>
        </w:rPr>
        <w:t xml:space="preserve"> 376)</w:t>
      </w:r>
      <w:r w:rsidR="007D00A4" w:rsidRPr="00F17126">
        <w:rPr>
          <w:rFonts w:ascii="Times New Roman" w:hAnsi="Times New Roman" w:cs="Times New Roman"/>
          <w:sz w:val="24"/>
          <w:szCs w:val="24"/>
          <w:lang w:val="en-US"/>
        </w:rPr>
        <w:t xml:space="preserve">. </w:t>
      </w:r>
      <w:r w:rsidR="00D90962" w:rsidRPr="00F17126">
        <w:rPr>
          <w:rFonts w:ascii="Times New Roman" w:hAnsi="Times New Roman" w:cs="Times New Roman"/>
          <w:sz w:val="24"/>
          <w:szCs w:val="24"/>
          <w:lang w:val="en-US"/>
        </w:rPr>
        <w:t xml:space="preserve">Indeed, as Dagnet </w:t>
      </w:r>
      <w:r w:rsidR="005C1D57">
        <w:rPr>
          <w:rFonts w:ascii="Times New Roman" w:hAnsi="Times New Roman" w:cs="Times New Roman"/>
          <w:sz w:val="24"/>
          <w:szCs w:val="24"/>
          <w:lang w:val="en-US"/>
        </w:rPr>
        <w:t>and</w:t>
      </w:r>
      <w:r w:rsidR="00D90962" w:rsidRPr="00F17126">
        <w:rPr>
          <w:rFonts w:ascii="Times New Roman" w:hAnsi="Times New Roman" w:cs="Times New Roman"/>
          <w:sz w:val="24"/>
          <w:szCs w:val="24"/>
          <w:lang w:val="en-US"/>
        </w:rPr>
        <w:t xml:space="preserve"> Northrop</w:t>
      </w:r>
      <w:r>
        <w:rPr>
          <w:rFonts w:ascii="Times New Roman" w:hAnsi="Times New Roman" w:cs="Times New Roman"/>
          <w:sz w:val="24"/>
          <w:szCs w:val="24"/>
          <w:lang w:val="en-US"/>
        </w:rPr>
        <w:t xml:space="preserve"> emphasize</w:t>
      </w:r>
      <w:r w:rsidR="00D90962" w:rsidRPr="00F17126">
        <w:rPr>
          <w:rFonts w:ascii="Times New Roman" w:hAnsi="Times New Roman" w:cs="Times New Roman"/>
          <w:sz w:val="24"/>
          <w:szCs w:val="24"/>
          <w:lang w:val="en-US"/>
        </w:rPr>
        <w:t xml:space="preserve"> (2017</w:t>
      </w:r>
      <w:r w:rsidR="008F7F61">
        <w:rPr>
          <w:rFonts w:ascii="Times New Roman" w:hAnsi="Times New Roman" w:cs="Times New Roman"/>
          <w:sz w:val="24"/>
          <w:szCs w:val="24"/>
          <w:lang w:val="en-US"/>
        </w:rPr>
        <w:t>, p.</w:t>
      </w:r>
      <w:r w:rsidR="00D90962" w:rsidRPr="00F17126">
        <w:rPr>
          <w:rFonts w:ascii="Times New Roman" w:hAnsi="Times New Roman" w:cs="Times New Roman"/>
          <w:sz w:val="24"/>
          <w:szCs w:val="24"/>
          <w:lang w:val="en-US"/>
        </w:rPr>
        <w:t xml:space="preserve"> 345)</w:t>
      </w:r>
      <w:r w:rsidR="007D00A4" w:rsidRPr="00F17126">
        <w:rPr>
          <w:rFonts w:ascii="Times New Roman" w:hAnsi="Times New Roman" w:cs="Times New Roman"/>
          <w:sz w:val="24"/>
          <w:szCs w:val="24"/>
          <w:lang w:val="en-US"/>
        </w:rPr>
        <w:t xml:space="preserve">, “it is difficult to conceive that a Party would </w:t>
      </w:r>
      <w:r w:rsidR="00E5244D" w:rsidRPr="00F17126">
        <w:rPr>
          <w:rFonts w:ascii="Times New Roman" w:hAnsi="Times New Roman" w:cs="Times New Roman"/>
          <w:sz w:val="24"/>
          <w:szCs w:val="24"/>
          <w:lang w:val="en-US"/>
        </w:rPr>
        <w:t>need</w:t>
      </w:r>
      <w:r w:rsidR="007D00A4" w:rsidRPr="00F17126">
        <w:rPr>
          <w:rFonts w:ascii="Times New Roman" w:hAnsi="Times New Roman" w:cs="Times New Roman"/>
          <w:sz w:val="24"/>
          <w:szCs w:val="24"/>
          <w:lang w:val="en-US"/>
        </w:rPr>
        <w:t xml:space="preserve"> to </w:t>
      </w:r>
      <w:r w:rsidR="00E5244D" w:rsidRPr="00F17126">
        <w:rPr>
          <w:rFonts w:ascii="Times New Roman" w:hAnsi="Times New Roman" w:cs="Times New Roman"/>
          <w:sz w:val="24"/>
          <w:szCs w:val="24"/>
          <w:lang w:val="en-US"/>
        </w:rPr>
        <w:t>‘</w:t>
      </w:r>
      <w:r w:rsidR="007D00A4" w:rsidRPr="00F17126">
        <w:rPr>
          <w:rFonts w:ascii="Times New Roman" w:hAnsi="Times New Roman" w:cs="Times New Roman"/>
          <w:sz w:val="24"/>
          <w:szCs w:val="24"/>
          <w:lang w:val="en-US"/>
        </w:rPr>
        <w:t>comply</w:t>
      </w:r>
      <w:r w:rsidR="00E5244D" w:rsidRPr="00F17126">
        <w:rPr>
          <w:rFonts w:ascii="Times New Roman" w:hAnsi="Times New Roman" w:cs="Times New Roman"/>
          <w:sz w:val="24"/>
          <w:szCs w:val="24"/>
          <w:lang w:val="en-US"/>
        </w:rPr>
        <w:t>’</w:t>
      </w:r>
      <w:r w:rsidR="007D00A4" w:rsidRPr="00F17126">
        <w:rPr>
          <w:rFonts w:ascii="Times New Roman" w:hAnsi="Times New Roman" w:cs="Times New Roman"/>
          <w:sz w:val="24"/>
          <w:szCs w:val="24"/>
          <w:lang w:val="en-US"/>
        </w:rPr>
        <w:t xml:space="preserve"> with something that is not mandatory</w:t>
      </w:r>
      <w:r w:rsidR="005C1D57">
        <w:rPr>
          <w:rFonts w:ascii="Times New Roman" w:hAnsi="Times New Roman" w:cs="Times New Roman"/>
          <w:sz w:val="24"/>
          <w:szCs w:val="24"/>
          <w:lang w:val="en-US"/>
        </w:rPr>
        <w:t>.</w:t>
      </w:r>
      <w:r w:rsidR="007D00A4" w:rsidRPr="00F17126">
        <w:rPr>
          <w:rFonts w:ascii="Times New Roman" w:hAnsi="Times New Roman" w:cs="Times New Roman"/>
          <w:sz w:val="24"/>
          <w:szCs w:val="24"/>
          <w:lang w:val="en-US"/>
        </w:rPr>
        <w:t xml:space="preserve">” </w:t>
      </w:r>
      <w:r w:rsidR="00E5244D" w:rsidRPr="00F17126">
        <w:rPr>
          <w:rFonts w:ascii="Times New Roman" w:hAnsi="Times New Roman" w:cs="Times New Roman"/>
          <w:sz w:val="24"/>
          <w:szCs w:val="24"/>
          <w:lang w:val="en-US"/>
        </w:rPr>
        <w:t>The formulation in Article 15.2</w:t>
      </w:r>
      <w:r w:rsidR="00D90962" w:rsidRPr="00F17126">
        <w:rPr>
          <w:rFonts w:ascii="Times New Roman" w:hAnsi="Times New Roman" w:cs="Times New Roman"/>
          <w:sz w:val="24"/>
          <w:szCs w:val="24"/>
          <w:lang w:val="en-US"/>
        </w:rPr>
        <w:t>,</w:t>
      </w:r>
      <w:r w:rsidR="00E5244D" w:rsidRPr="00F17126">
        <w:rPr>
          <w:rFonts w:ascii="Times New Roman" w:hAnsi="Times New Roman" w:cs="Times New Roman"/>
          <w:sz w:val="24"/>
          <w:szCs w:val="24"/>
          <w:lang w:val="en-US"/>
        </w:rPr>
        <w:t xml:space="preserve"> </w:t>
      </w:r>
      <w:r w:rsidR="00D90962" w:rsidRPr="00F17126">
        <w:rPr>
          <w:rFonts w:ascii="Times New Roman" w:hAnsi="Times New Roman" w:cs="Times New Roman"/>
          <w:sz w:val="24"/>
          <w:szCs w:val="24"/>
          <w:lang w:val="en-US"/>
        </w:rPr>
        <w:t xml:space="preserve">stating </w:t>
      </w:r>
      <w:r w:rsidR="00E5244D" w:rsidRPr="00F17126">
        <w:rPr>
          <w:rFonts w:ascii="Times New Roman" w:hAnsi="Times New Roman" w:cs="Times New Roman"/>
          <w:sz w:val="24"/>
          <w:szCs w:val="24"/>
          <w:lang w:val="en-US"/>
        </w:rPr>
        <w:t>that the implementation and compliance mechanism “shall be expert-based and facilitative in nature and function in a manner that is transparent, non-adversarial, and non-punitive</w:t>
      </w:r>
      <w:r w:rsidR="004938EE" w:rsidRPr="00F17126">
        <w:rPr>
          <w:rFonts w:ascii="Times New Roman" w:hAnsi="Times New Roman" w:cs="Times New Roman"/>
          <w:sz w:val="24"/>
          <w:szCs w:val="24"/>
          <w:lang w:val="en-US"/>
        </w:rPr>
        <w:t>,</w:t>
      </w:r>
      <w:r w:rsidR="00E5244D" w:rsidRPr="00F17126">
        <w:rPr>
          <w:rFonts w:ascii="Times New Roman" w:hAnsi="Times New Roman" w:cs="Times New Roman"/>
          <w:sz w:val="24"/>
          <w:szCs w:val="24"/>
          <w:lang w:val="en-US"/>
        </w:rPr>
        <w:t xml:space="preserve">” must be seen in this light. </w:t>
      </w:r>
      <w:r w:rsidR="007D00A4" w:rsidRPr="00F17126">
        <w:rPr>
          <w:rFonts w:ascii="Times New Roman" w:hAnsi="Times New Roman" w:cs="Times New Roman"/>
          <w:sz w:val="24"/>
          <w:szCs w:val="24"/>
          <w:lang w:val="en-US"/>
        </w:rPr>
        <w:t xml:space="preserve"> </w:t>
      </w:r>
    </w:p>
    <w:p w14:paraId="37C7D293" w14:textId="35FB8A0B" w:rsidR="00167740" w:rsidRPr="00F17126" w:rsidRDefault="00AF4E34"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However, </w:t>
      </w:r>
      <w:r w:rsidR="00610246">
        <w:rPr>
          <w:rFonts w:ascii="Times New Roman" w:hAnsi="Times New Roman" w:cs="Times New Roman"/>
          <w:sz w:val="24"/>
          <w:szCs w:val="24"/>
          <w:lang w:val="en-US"/>
        </w:rPr>
        <w:t>Article</w:t>
      </w:r>
      <w:r w:rsidR="00610246"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4.2 prescribes that </w:t>
      </w:r>
      <w:r w:rsidR="00777C40">
        <w:rPr>
          <w:rFonts w:ascii="Times New Roman" w:hAnsi="Times New Roman" w:cs="Times New Roman"/>
          <w:sz w:val="24"/>
          <w:szCs w:val="24"/>
          <w:lang w:val="en-US"/>
        </w:rPr>
        <w:t>Parties</w:t>
      </w:r>
      <w:r w:rsidRPr="00F17126">
        <w:rPr>
          <w:rFonts w:ascii="Times New Roman" w:hAnsi="Times New Roman" w:cs="Times New Roman"/>
          <w:sz w:val="24"/>
          <w:szCs w:val="24"/>
          <w:lang w:val="en-US"/>
        </w:rPr>
        <w:t xml:space="preserve"> shall “pursue domestic mitigation measures, with the aim of achieving the objectives of such contributions” [NDCs]. Moreover, </w:t>
      </w:r>
      <w:r w:rsidR="00610246">
        <w:rPr>
          <w:rFonts w:ascii="Times New Roman" w:hAnsi="Times New Roman" w:cs="Times New Roman"/>
          <w:sz w:val="24"/>
          <w:szCs w:val="24"/>
          <w:lang w:val="en-US"/>
        </w:rPr>
        <w:t>Article</w:t>
      </w:r>
      <w:r w:rsidR="00610246"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13.7 requires </w:t>
      </w:r>
      <w:r w:rsidR="00777C40">
        <w:rPr>
          <w:rFonts w:ascii="Times New Roman" w:hAnsi="Times New Roman" w:cs="Times New Roman"/>
          <w:sz w:val="24"/>
          <w:szCs w:val="24"/>
          <w:lang w:val="en-US"/>
        </w:rPr>
        <w:t>Parties</w:t>
      </w:r>
      <w:r w:rsidRPr="00F17126">
        <w:rPr>
          <w:rFonts w:ascii="Times New Roman" w:hAnsi="Times New Roman" w:cs="Times New Roman"/>
          <w:sz w:val="24"/>
          <w:szCs w:val="24"/>
          <w:lang w:val="en-US"/>
        </w:rPr>
        <w:t xml:space="preserve"> to provide information that facilitate</w:t>
      </w:r>
      <w:r w:rsidR="000C1F71">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w:t>
      </w:r>
      <w:r w:rsidR="000C1F71">
        <w:rPr>
          <w:rFonts w:ascii="Times New Roman" w:hAnsi="Times New Roman" w:cs="Times New Roman"/>
          <w:sz w:val="24"/>
          <w:szCs w:val="24"/>
          <w:lang w:val="en-US"/>
        </w:rPr>
        <w:t>tracking</w:t>
      </w:r>
      <w:r w:rsidRPr="00F17126">
        <w:rPr>
          <w:rFonts w:ascii="Times New Roman" w:hAnsi="Times New Roman" w:cs="Times New Roman"/>
          <w:sz w:val="24"/>
          <w:szCs w:val="24"/>
          <w:lang w:val="en-US"/>
        </w:rPr>
        <w:t xml:space="preserve"> progress concerning the implementation of their NDC. As Winkler </w:t>
      </w:r>
      <w:r w:rsidR="000C1F71">
        <w:rPr>
          <w:rFonts w:ascii="Times New Roman" w:hAnsi="Times New Roman" w:cs="Times New Roman"/>
          <w:sz w:val="24"/>
          <w:szCs w:val="24"/>
          <w:lang w:val="en-US"/>
        </w:rPr>
        <w:t xml:space="preserve">emphasizes </w:t>
      </w:r>
      <w:r w:rsidRPr="00F17126">
        <w:rPr>
          <w:rFonts w:ascii="Times New Roman" w:hAnsi="Times New Roman" w:cs="Times New Roman"/>
          <w:sz w:val="24"/>
          <w:szCs w:val="24"/>
          <w:lang w:val="en-US"/>
        </w:rPr>
        <w:t>(2017</w:t>
      </w:r>
      <w:r w:rsidR="00610246">
        <w:rPr>
          <w:rFonts w:ascii="Times New Roman" w:hAnsi="Times New Roman" w:cs="Times New Roman"/>
          <w:sz w:val="24"/>
          <w:szCs w:val="24"/>
          <w:lang w:val="en-US"/>
        </w:rPr>
        <w:t>, pp.</w:t>
      </w:r>
      <w:r w:rsidRPr="00F17126">
        <w:rPr>
          <w:rFonts w:ascii="Times New Roman" w:hAnsi="Times New Roman" w:cs="Times New Roman"/>
          <w:sz w:val="24"/>
          <w:szCs w:val="24"/>
          <w:lang w:val="en-US"/>
        </w:rPr>
        <w:t xml:space="preserve"> 146</w:t>
      </w:r>
      <w:r w:rsidR="0061024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148), these two </w:t>
      </w:r>
      <w:r w:rsidR="000C1F71">
        <w:rPr>
          <w:rFonts w:ascii="Times New Roman" w:hAnsi="Times New Roman" w:cs="Times New Roman"/>
          <w:sz w:val="24"/>
          <w:szCs w:val="24"/>
          <w:lang w:val="en-US"/>
        </w:rPr>
        <w:t>Articles</w:t>
      </w:r>
      <w:r w:rsidRPr="00F17126">
        <w:rPr>
          <w:rFonts w:ascii="Times New Roman" w:hAnsi="Times New Roman" w:cs="Times New Roman"/>
          <w:sz w:val="24"/>
          <w:szCs w:val="24"/>
          <w:lang w:val="en-US"/>
        </w:rPr>
        <w:t xml:space="preserve"> ensure that </w:t>
      </w:r>
      <w:r w:rsidR="00777C40">
        <w:rPr>
          <w:rFonts w:ascii="Times New Roman" w:hAnsi="Times New Roman" w:cs="Times New Roman"/>
          <w:sz w:val="24"/>
          <w:szCs w:val="24"/>
          <w:lang w:val="en-US"/>
        </w:rPr>
        <w:t>Parties</w:t>
      </w:r>
      <w:r w:rsidRPr="00F17126">
        <w:rPr>
          <w:rFonts w:ascii="Times New Roman" w:hAnsi="Times New Roman" w:cs="Times New Roman"/>
          <w:sz w:val="24"/>
          <w:szCs w:val="24"/>
          <w:lang w:val="en-US"/>
        </w:rPr>
        <w:t xml:space="preserve"> are </w:t>
      </w:r>
      <w:r w:rsidR="00515B04" w:rsidRPr="00F17126">
        <w:rPr>
          <w:rFonts w:ascii="Times New Roman" w:hAnsi="Times New Roman" w:cs="Times New Roman"/>
          <w:sz w:val="24"/>
          <w:szCs w:val="24"/>
          <w:lang w:val="en-US"/>
        </w:rPr>
        <w:t>legally bound to actively pursue thei</w:t>
      </w:r>
      <w:r w:rsidR="00167740" w:rsidRPr="00F17126">
        <w:rPr>
          <w:rFonts w:ascii="Times New Roman" w:hAnsi="Times New Roman" w:cs="Times New Roman"/>
          <w:sz w:val="24"/>
          <w:szCs w:val="24"/>
          <w:lang w:val="en-US"/>
        </w:rPr>
        <w:t xml:space="preserve">r </w:t>
      </w:r>
      <w:r w:rsidR="006C0350" w:rsidRPr="00F17126">
        <w:rPr>
          <w:rFonts w:ascii="Times New Roman" w:hAnsi="Times New Roman" w:cs="Times New Roman"/>
          <w:sz w:val="24"/>
          <w:szCs w:val="24"/>
          <w:lang w:val="en-US"/>
        </w:rPr>
        <w:t>NDC</w:t>
      </w:r>
      <w:r w:rsidR="00167740" w:rsidRPr="00F17126">
        <w:rPr>
          <w:rFonts w:ascii="Times New Roman" w:hAnsi="Times New Roman" w:cs="Times New Roman"/>
          <w:sz w:val="24"/>
          <w:szCs w:val="24"/>
          <w:lang w:val="en-US"/>
        </w:rPr>
        <w:t>s.</w:t>
      </w:r>
      <w:r w:rsidR="00515B04" w:rsidRPr="00F17126">
        <w:rPr>
          <w:rFonts w:ascii="Times New Roman" w:hAnsi="Times New Roman" w:cs="Times New Roman"/>
          <w:sz w:val="24"/>
          <w:szCs w:val="24"/>
          <w:lang w:val="en-US"/>
        </w:rPr>
        <w:t xml:space="preserve"> </w:t>
      </w:r>
    </w:p>
    <w:p w14:paraId="106AFBAE" w14:textId="38CAFE2B" w:rsidR="00BF1E21" w:rsidRPr="00F17126" w:rsidRDefault="00BF1E21"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Different opinions exist concerning prospects for high compliance with the PA. On one hand, </w:t>
      </w:r>
      <w:r w:rsidR="00CF3492" w:rsidRPr="00F17126">
        <w:rPr>
          <w:rFonts w:ascii="Times New Roman" w:hAnsi="Times New Roman" w:cs="Times New Roman"/>
          <w:sz w:val="24"/>
          <w:szCs w:val="24"/>
          <w:lang w:val="en-US"/>
        </w:rPr>
        <w:t xml:space="preserve">the </w:t>
      </w:r>
      <w:r w:rsidR="00820E85" w:rsidRPr="00F17126">
        <w:rPr>
          <w:rFonts w:ascii="Times New Roman" w:hAnsi="Times New Roman" w:cs="Times New Roman"/>
          <w:sz w:val="24"/>
          <w:szCs w:val="24"/>
          <w:lang w:val="en-US"/>
        </w:rPr>
        <w:t>PA</w:t>
      </w:r>
      <w:r w:rsidR="006F7944" w:rsidRPr="00F17126">
        <w:rPr>
          <w:rFonts w:ascii="Times New Roman" w:hAnsi="Times New Roman" w:cs="Times New Roman"/>
          <w:sz w:val="24"/>
          <w:szCs w:val="24"/>
          <w:lang w:val="en-US"/>
        </w:rPr>
        <w:t>’s ability to achieve high compliance rates</w:t>
      </w:r>
      <w:r w:rsidRPr="00F17126">
        <w:rPr>
          <w:rFonts w:ascii="Times New Roman" w:hAnsi="Times New Roman" w:cs="Times New Roman"/>
          <w:sz w:val="24"/>
          <w:szCs w:val="24"/>
          <w:lang w:val="en-US"/>
        </w:rPr>
        <w:t xml:space="preserve"> has been seriously questioned</w:t>
      </w:r>
      <w:r w:rsidR="006F7944" w:rsidRPr="00F17126">
        <w:rPr>
          <w:rFonts w:ascii="Times New Roman" w:hAnsi="Times New Roman" w:cs="Times New Roman"/>
          <w:sz w:val="24"/>
          <w:szCs w:val="24"/>
          <w:lang w:val="en-US"/>
        </w:rPr>
        <w:t>.</w:t>
      </w:r>
      <w:r w:rsidR="008E619C" w:rsidRPr="00F17126">
        <w:rPr>
          <w:rFonts w:ascii="Times New Roman" w:hAnsi="Times New Roman" w:cs="Times New Roman"/>
          <w:sz w:val="24"/>
          <w:szCs w:val="24"/>
          <w:lang w:val="en-US"/>
        </w:rPr>
        <w:t xml:space="preserve"> For example, Bang et al. (2016</w:t>
      </w:r>
      <w:r w:rsidR="008F7F61">
        <w:rPr>
          <w:rFonts w:ascii="Times New Roman" w:hAnsi="Times New Roman" w:cs="Times New Roman"/>
          <w:sz w:val="24"/>
          <w:szCs w:val="24"/>
          <w:lang w:val="en-US"/>
        </w:rPr>
        <w:t>, p.</w:t>
      </w:r>
      <w:r w:rsidR="001F3919" w:rsidRPr="00F17126">
        <w:rPr>
          <w:rFonts w:ascii="Times New Roman" w:hAnsi="Times New Roman" w:cs="Times New Roman"/>
          <w:sz w:val="24"/>
          <w:szCs w:val="24"/>
          <w:lang w:val="en-US"/>
        </w:rPr>
        <w:t xml:space="preserve"> 210</w:t>
      </w:r>
      <w:r w:rsidR="008E619C" w:rsidRPr="00F17126">
        <w:rPr>
          <w:rFonts w:ascii="Times New Roman" w:hAnsi="Times New Roman" w:cs="Times New Roman"/>
          <w:sz w:val="24"/>
          <w:szCs w:val="24"/>
          <w:lang w:val="en-US"/>
        </w:rPr>
        <w:t>) argue that compliance will likely be the agreement’s “Achilles’ heel</w:t>
      </w:r>
      <w:r w:rsidR="005C1D57">
        <w:rPr>
          <w:rFonts w:ascii="Times New Roman" w:hAnsi="Times New Roman" w:cs="Times New Roman"/>
          <w:sz w:val="24"/>
          <w:szCs w:val="24"/>
          <w:lang w:val="en-US"/>
        </w:rPr>
        <w:t>,</w:t>
      </w:r>
      <w:r w:rsidR="008E619C" w:rsidRPr="00F17126">
        <w:rPr>
          <w:rFonts w:ascii="Times New Roman" w:hAnsi="Times New Roman" w:cs="Times New Roman"/>
          <w:sz w:val="24"/>
          <w:szCs w:val="24"/>
          <w:lang w:val="en-US"/>
        </w:rPr>
        <w:t xml:space="preserve">” while Barrett </w:t>
      </w:r>
      <w:r w:rsidR="00F0122A" w:rsidRPr="00F17126">
        <w:rPr>
          <w:rFonts w:ascii="Times New Roman" w:hAnsi="Times New Roman" w:cs="Times New Roman"/>
          <w:sz w:val="24"/>
          <w:szCs w:val="24"/>
          <w:lang w:val="en-US"/>
        </w:rPr>
        <w:t>(2016</w:t>
      </w:r>
      <w:r w:rsidR="008F7F61">
        <w:rPr>
          <w:rFonts w:ascii="Times New Roman" w:hAnsi="Times New Roman" w:cs="Times New Roman"/>
          <w:sz w:val="24"/>
          <w:szCs w:val="24"/>
          <w:lang w:val="en-US"/>
        </w:rPr>
        <w:t>, p.</w:t>
      </w:r>
      <w:r w:rsidR="001F3919" w:rsidRPr="00F17126">
        <w:rPr>
          <w:rFonts w:ascii="Times New Roman" w:hAnsi="Times New Roman" w:cs="Times New Roman"/>
          <w:sz w:val="24"/>
          <w:szCs w:val="24"/>
          <w:lang w:val="en-US"/>
        </w:rPr>
        <w:t xml:space="preserve"> 76</w:t>
      </w:r>
      <w:r w:rsidR="00F0122A" w:rsidRPr="00F17126">
        <w:rPr>
          <w:rFonts w:ascii="Times New Roman" w:hAnsi="Times New Roman" w:cs="Times New Roman"/>
          <w:sz w:val="24"/>
          <w:szCs w:val="24"/>
          <w:lang w:val="en-US"/>
        </w:rPr>
        <w:t xml:space="preserve">) </w:t>
      </w:r>
      <w:r w:rsidR="008E619C" w:rsidRPr="00F17126">
        <w:rPr>
          <w:rFonts w:ascii="Times New Roman" w:hAnsi="Times New Roman" w:cs="Times New Roman"/>
          <w:sz w:val="24"/>
          <w:szCs w:val="24"/>
          <w:lang w:val="en-US"/>
        </w:rPr>
        <w:t xml:space="preserve">predicts that Paris </w:t>
      </w:r>
      <w:r w:rsidR="00F0122A" w:rsidRPr="00F17126">
        <w:rPr>
          <w:rFonts w:ascii="Times New Roman" w:hAnsi="Times New Roman" w:cs="Times New Roman"/>
          <w:sz w:val="24"/>
          <w:szCs w:val="24"/>
          <w:lang w:val="en-US"/>
        </w:rPr>
        <w:t>will</w:t>
      </w:r>
      <w:r w:rsidR="008E619C" w:rsidRPr="00F17126">
        <w:rPr>
          <w:rFonts w:ascii="Times New Roman" w:hAnsi="Times New Roman" w:cs="Times New Roman"/>
          <w:sz w:val="24"/>
          <w:szCs w:val="24"/>
          <w:lang w:val="en-US"/>
        </w:rPr>
        <w:t xml:space="preserve"> more likely </w:t>
      </w:r>
      <w:r w:rsidR="001F3919" w:rsidRPr="00F17126">
        <w:rPr>
          <w:rFonts w:ascii="Times New Roman" w:hAnsi="Times New Roman" w:cs="Times New Roman"/>
          <w:sz w:val="24"/>
          <w:szCs w:val="24"/>
          <w:lang w:val="en-US"/>
        </w:rPr>
        <w:t>“change what players say than what they do</w:t>
      </w:r>
      <w:r w:rsidR="005C1D57">
        <w:rPr>
          <w:rFonts w:ascii="Times New Roman" w:hAnsi="Times New Roman" w:cs="Times New Roman"/>
          <w:sz w:val="24"/>
          <w:szCs w:val="24"/>
          <w:lang w:val="en-US"/>
        </w:rPr>
        <w:t>.</w:t>
      </w:r>
      <w:r w:rsidR="001F3919" w:rsidRPr="00F17126">
        <w:rPr>
          <w:rFonts w:ascii="Times New Roman" w:hAnsi="Times New Roman" w:cs="Times New Roman"/>
          <w:sz w:val="24"/>
          <w:szCs w:val="24"/>
          <w:lang w:val="en-US"/>
        </w:rPr>
        <w:t>”</w:t>
      </w:r>
      <w:r w:rsidR="008E619C" w:rsidRPr="00F17126">
        <w:rPr>
          <w:rFonts w:ascii="Times New Roman" w:hAnsi="Times New Roman" w:cs="Times New Roman"/>
          <w:sz w:val="24"/>
          <w:szCs w:val="24"/>
          <w:lang w:val="en-US"/>
        </w:rPr>
        <w:t xml:space="preserve"> Similarly,</w:t>
      </w:r>
      <w:r w:rsidR="004F52BC" w:rsidRPr="00F17126">
        <w:rPr>
          <w:rFonts w:ascii="Times New Roman" w:hAnsi="Times New Roman" w:cs="Times New Roman"/>
          <w:sz w:val="24"/>
          <w:szCs w:val="24"/>
          <w:lang w:val="en-US"/>
        </w:rPr>
        <w:t xml:space="preserve"> Falkner (2016</w:t>
      </w:r>
      <w:r w:rsidR="008F7F61">
        <w:rPr>
          <w:rFonts w:ascii="Times New Roman" w:hAnsi="Times New Roman" w:cs="Times New Roman"/>
          <w:sz w:val="24"/>
          <w:szCs w:val="24"/>
          <w:lang w:val="en-US"/>
        </w:rPr>
        <w:t>, p.</w:t>
      </w:r>
      <w:r w:rsidR="004F52BC" w:rsidRPr="00F17126">
        <w:rPr>
          <w:rFonts w:ascii="Times New Roman" w:hAnsi="Times New Roman" w:cs="Times New Roman"/>
          <w:sz w:val="24"/>
          <w:szCs w:val="24"/>
          <w:lang w:val="en-US"/>
        </w:rPr>
        <w:t xml:space="preserve"> 1122) reminds us that the </w:t>
      </w:r>
      <w:r w:rsidR="005051C9" w:rsidRPr="00F17126">
        <w:rPr>
          <w:rFonts w:ascii="Times New Roman" w:hAnsi="Times New Roman" w:cs="Times New Roman"/>
          <w:sz w:val="24"/>
          <w:szCs w:val="24"/>
          <w:lang w:val="en-US"/>
        </w:rPr>
        <w:t xml:space="preserve">historical </w:t>
      </w:r>
      <w:r w:rsidR="004F52BC" w:rsidRPr="00F17126">
        <w:rPr>
          <w:rFonts w:ascii="Times New Roman" w:hAnsi="Times New Roman" w:cs="Times New Roman"/>
          <w:sz w:val="24"/>
          <w:szCs w:val="24"/>
          <w:lang w:val="en-US"/>
        </w:rPr>
        <w:t xml:space="preserve">record is </w:t>
      </w:r>
      <w:r w:rsidR="00D90962" w:rsidRPr="00F17126">
        <w:rPr>
          <w:rFonts w:ascii="Times New Roman" w:hAnsi="Times New Roman" w:cs="Times New Roman"/>
          <w:sz w:val="24"/>
          <w:szCs w:val="24"/>
          <w:lang w:val="en-US"/>
        </w:rPr>
        <w:t>not particularly encouraging</w:t>
      </w:r>
      <w:r w:rsidR="004F52BC" w:rsidRPr="00F17126">
        <w:rPr>
          <w:rFonts w:ascii="Times New Roman" w:hAnsi="Times New Roman" w:cs="Times New Roman"/>
          <w:sz w:val="24"/>
          <w:szCs w:val="24"/>
          <w:lang w:val="en-US"/>
        </w:rPr>
        <w:t xml:space="preserve"> concerning compliance with previous ambitious targets for emissions reductions</w:t>
      </w:r>
      <w:r w:rsidR="008E619C" w:rsidRPr="00F17126">
        <w:rPr>
          <w:rFonts w:ascii="Times New Roman" w:hAnsi="Times New Roman" w:cs="Times New Roman"/>
          <w:sz w:val="24"/>
          <w:szCs w:val="24"/>
          <w:lang w:val="en-US"/>
        </w:rPr>
        <w:t>.</w:t>
      </w:r>
      <w:r w:rsidR="006F7944" w:rsidRPr="00F17126">
        <w:rPr>
          <w:rFonts w:ascii="Times New Roman" w:hAnsi="Times New Roman" w:cs="Times New Roman"/>
          <w:sz w:val="24"/>
          <w:szCs w:val="24"/>
          <w:lang w:val="en-US"/>
        </w:rPr>
        <w:t xml:space="preserve"> </w:t>
      </w:r>
    </w:p>
    <w:p w14:paraId="07E6166A" w14:textId="6739D671" w:rsidR="00696F88" w:rsidRPr="00F17126" w:rsidRDefault="002569EB"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On the other hand</w:t>
      </w:r>
      <w:r w:rsidR="00BF1E21" w:rsidRPr="00F17126">
        <w:rPr>
          <w:rFonts w:ascii="Times New Roman" w:hAnsi="Times New Roman" w:cs="Times New Roman"/>
          <w:sz w:val="24"/>
          <w:szCs w:val="24"/>
          <w:lang w:val="en-US"/>
        </w:rPr>
        <w:t xml:space="preserve">, </w:t>
      </w:r>
      <w:r w:rsidR="000C1F71">
        <w:rPr>
          <w:rFonts w:ascii="Times New Roman" w:hAnsi="Times New Roman" w:cs="Times New Roman"/>
          <w:sz w:val="24"/>
          <w:szCs w:val="24"/>
          <w:lang w:val="en-US"/>
        </w:rPr>
        <w:t>some have voiced reasons for optimism</w:t>
      </w:r>
      <w:r w:rsidR="00BF1E21" w:rsidRPr="00F17126">
        <w:rPr>
          <w:rFonts w:ascii="Times New Roman" w:hAnsi="Times New Roman" w:cs="Times New Roman"/>
          <w:sz w:val="24"/>
          <w:szCs w:val="24"/>
          <w:lang w:val="en-US"/>
        </w:rPr>
        <w:t xml:space="preserve">. For example, Falkner (2016) </w:t>
      </w:r>
      <w:r w:rsidRPr="00F17126">
        <w:rPr>
          <w:rFonts w:ascii="Times New Roman" w:hAnsi="Times New Roman" w:cs="Times New Roman"/>
          <w:sz w:val="24"/>
          <w:szCs w:val="24"/>
          <w:lang w:val="en-US"/>
        </w:rPr>
        <w:t>points out</w:t>
      </w:r>
      <w:r w:rsidR="004F52BC" w:rsidRPr="00F17126">
        <w:rPr>
          <w:rFonts w:ascii="Times New Roman" w:hAnsi="Times New Roman" w:cs="Times New Roman"/>
          <w:sz w:val="24"/>
          <w:szCs w:val="24"/>
          <w:lang w:val="en-US"/>
        </w:rPr>
        <w:t xml:space="preserve"> that</w:t>
      </w:r>
      <w:r w:rsidR="00D90962" w:rsidRPr="00F17126">
        <w:rPr>
          <w:rFonts w:ascii="Times New Roman" w:hAnsi="Times New Roman" w:cs="Times New Roman"/>
          <w:sz w:val="24"/>
          <w:szCs w:val="24"/>
          <w:lang w:val="en-US"/>
        </w:rPr>
        <w:t>,</w:t>
      </w:r>
      <w:r w:rsidR="004F52BC" w:rsidRPr="00F17126">
        <w:rPr>
          <w:rFonts w:ascii="Times New Roman" w:hAnsi="Times New Roman" w:cs="Times New Roman"/>
          <w:sz w:val="24"/>
          <w:szCs w:val="24"/>
          <w:lang w:val="en-US"/>
        </w:rPr>
        <w:t xml:space="preserve"> </w:t>
      </w:r>
      <w:r w:rsidR="00D90962" w:rsidRPr="00F17126">
        <w:rPr>
          <w:rFonts w:ascii="Times New Roman" w:hAnsi="Times New Roman" w:cs="Times New Roman"/>
          <w:sz w:val="24"/>
          <w:szCs w:val="24"/>
          <w:lang w:val="en-US"/>
        </w:rPr>
        <w:t>by rooting targets in domestic politics rather than in international consen</w:t>
      </w:r>
      <w:r w:rsidRPr="00F17126">
        <w:rPr>
          <w:rFonts w:ascii="Times New Roman" w:hAnsi="Times New Roman" w:cs="Times New Roman"/>
          <w:sz w:val="24"/>
          <w:szCs w:val="24"/>
          <w:lang w:val="en-US"/>
        </w:rPr>
        <w:t>t</w:t>
      </w:r>
      <w:r w:rsidR="00D90962" w:rsidRPr="00F17126">
        <w:rPr>
          <w:rFonts w:ascii="Times New Roman" w:hAnsi="Times New Roman" w:cs="Times New Roman"/>
          <w:sz w:val="24"/>
          <w:szCs w:val="24"/>
          <w:lang w:val="en-US"/>
        </w:rPr>
        <w:t xml:space="preserve">, </w:t>
      </w:r>
      <w:r w:rsidR="00696F88" w:rsidRPr="00F17126">
        <w:rPr>
          <w:rFonts w:ascii="Times New Roman" w:hAnsi="Times New Roman" w:cs="Times New Roman"/>
          <w:sz w:val="24"/>
          <w:szCs w:val="24"/>
          <w:lang w:val="en-US"/>
        </w:rPr>
        <w:t xml:space="preserve">the </w:t>
      </w:r>
      <w:r w:rsidR="00820E85" w:rsidRPr="00F17126">
        <w:rPr>
          <w:rFonts w:ascii="Times New Roman" w:hAnsi="Times New Roman" w:cs="Times New Roman"/>
          <w:sz w:val="24"/>
          <w:szCs w:val="24"/>
          <w:lang w:val="en-US"/>
        </w:rPr>
        <w:t>PA</w:t>
      </w:r>
      <w:r w:rsidR="004F52BC" w:rsidRPr="00F17126">
        <w:rPr>
          <w:rFonts w:ascii="Times New Roman" w:hAnsi="Times New Roman" w:cs="Times New Roman"/>
          <w:sz w:val="24"/>
          <w:szCs w:val="24"/>
          <w:lang w:val="en-US"/>
        </w:rPr>
        <w:t xml:space="preserve"> impose</w:t>
      </w:r>
      <w:r w:rsidR="00696F88" w:rsidRPr="00F17126">
        <w:rPr>
          <w:rFonts w:ascii="Times New Roman" w:hAnsi="Times New Roman" w:cs="Times New Roman"/>
          <w:sz w:val="24"/>
          <w:szCs w:val="24"/>
          <w:lang w:val="en-US"/>
        </w:rPr>
        <w:t>s</w:t>
      </w:r>
      <w:r w:rsidR="004F52BC" w:rsidRPr="00F17126">
        <w:rPr>
          <w:rFonts w:ascii="Times New Roman" w:hAnsi="Times New Roman" w:cs="Times New Roman"/>
          <w:sz w:val="24"/>
          <w:szCs w:val="24"/>
          <w:lang w:val="en-US"/>
        </w:rPr>
        <w:t xml:space="preserve"> </w:t>
      </w:r>
      <w:r w:rsidR="00696F88" w:rsidRPr="00F17126">
        <w:rPr>
          <w:rFonts w:ascii="Times New Roman" w:hAnsi="Times New Roman" w:cs="Times New Roman"/>
          <w:sz w:val="24"/>
          <w:szCs w:val="24"/>
          <w:lang w:val="en-US"/>
        </w:rPr>
        <w:t>a</w:t>
      </w:r>
      <w:r w:rsidR="004F52BC" w:rsidRPr="00F17126">
        <w:rPr>
          <w:rFonts w:ascii="Times New Roman" w:hAnsi="Times New Roman" w:cs="Times New Roman"/>
          <w:sz w:val="24"/>
          <w:szCs w:val="24"/>
          <w:lang w:val="en-US"/>
        </w:rPr>
        <w:t xml:space="preserve"> </w:t>
      </w:r>
      <w:r w:rsidR="001F3919" w:rsidRPr="00F17126">
        <w:rPr>
          <w:rFonts w:ascii="Times New Roman" w:hAnsi="Times New Roman" w:cs="Times New Roman"/>
          <w:sz w:val="24"/>
          <w:szCs w:val="24"/>
          <w:lang w:val="en-US"/>
        </w:rPr>
        <w:t>new</w:t>
      </w:r>
      <w:r w:rsidR="00696F88" w:rsidRPr="00F17126">
        <w:rPr>
          <w:rFonts w:ascii="Times New Roman" w:hAnsi="Times New Roman" w:cs="Times New Roman"/>
          <w:sz w:val="24"/>
          <w:szCs w:val="24"/>
          <w:lang w:val="en-US"/>
        </w:rPr>
        <w:t xml:space="preserve"> context</w:t>
      </w:r>
      <w:r w:rsidR="00D90962" w:rsidRPr="00F17126">
        <w:rPr>
          <w:rFonts w:ascii="Times New Roman" w:hAnsi="Times New Roman" w:cs="Times New Roman"/>
          <w:sz w:val="24"/>
          <w:szCs w:val="24"/>
          <w:lang w:val="en-US"/>
        </w:rPr>
        <w:t xml:space="preserve"> that could prove more conducive to </w:t>
      </w:r>
      <w:r w:rsidR="009309D4" w:rsidRPr="00F17126">
        <w:rPr>
          <w:rFonts w:ascii="Times New Roman" w:hAnsi="Times New Roman" w:cs="Times New Roman"/>
          <w:sz w:val="24"/>
          <w:szCs w:val="24"/>
          <w:lang w:val="en-US"/>
        </w:rPr>
        <w:t>compliance</w:t>
      </w:r>
      <w:r w:rsidR="004F52BC" w:rsidRPr="00F17126">
        <w:rPr>
          <w:rFonts w:ascii="Times New Roman" w:hAnsi="Times New Roman" w:cs="Times New Roman"/>
          <w:sz w:val="24"/>
          <w:szCs w:val="24"/>
          <w:lang w:val="en-US"/>
        </w:rPr>
        <w:t>.</w:t>
      </w:r>
      <w:r w:rsidR="00544D8A" w:rsidRPr="00544D8A">
        <w:rPr>
          <w:rStyle w:val="FootnoteReference"/>
          <w:rFonts w:ascii="Times New Roman" w:hAnsi="Times New Roman" w:cs="Times New Roman"/>
          <w:sz w:val="24"/>
          <w:szCs w:val="24"/>
          <w:lang w:val="en-US"/>
        </w:rPr>
        <w:t xml:space="preserve"> </w:t>
      </w:r>
      <w:r w:rsidR="00544D8A" w:rsidRPr="0009104A">
        <w:rPr>
          <w:rStyle w:val="FootnoteReference"/>
          <w:rFonts w:ascii="Times New Roman" w:hAnsi="Times New Roman" w:cs="Times New Roman"/>
          <w:sz w:val="24"/>
          <w:szCs w:val="24"/>
          <w:lang w:val="en-US"/>
        </w:rPr>
        <w:footnoteReference w:id="6"/>
      </w:r>
      <w:r w:rsidR="00D02E8D" w:rsidRPr="00F17126">
        <w:rPr>
          <w:rFonts w:ascii="Times New Roman" w:hAnsi="Times New Roman" w:cs="Times New Roman"/>
          <w:sz w:val="24"/>
          <w:szCs w:val="24"/>
          <w:lang w:val="en-US"/>
        </w:rPr>
        <w:t xml:space="preserve"> Likewise, Tørstad (2018) </w:t>
      </w:r>
      <w:r w:rsidRPr="00F17126">
        <w:rPr>
          <w:rFonts w:ascii="Times New Roman" w:hAnsi="Times New Roman" w:cs="Times New Roman"/>
          <w:sz w:val="24"/>
          <w:szCs w:val="24"/>
          <w:lang w:val="en-US"/>
        </w:rPr>
        <w:t>argue</w:t>
      </w:r>
      <w:r w:rsidR="00D02E8D" w:rsidRPr="00F17126">
        <w:rPr>
          <w:rFonts w:ascii="Times New Roman" w:hAnsi="Times New Roman" w:cs="Times New Roman"/>
          <w:sz w:val="24"/>
          <w:szCs w:val="24"/>
          <w:lang w:val="en-US"/>
        </w:rPr>
        <w:t xml:space="preserve">s </w:t>
      </w:r>
      <w:r w:rsidRPr="00F17126">
        <w:rPr>
          <w:rFonts w:ascii="Times New Roman" w:hAnsi="Times New Roman" w:cs="Times New Roman"/>
          <w:sz w:val="24"/>
          <w:szCs w:val="24"/>
          <w:lang w:val="en-US"/>
        </w:rPr>
        <w:t xml:space="preserve">that </w:t>
      </w:r>
      <w:r w:rsidR="00D02E8D" w:rsidRPr="00F17126">
        <w:rPr>
          <w:rFonts w:ascii="Times New Roman" w:hAnsi="Times New Roman" w:cs="Times New Roman"/>
          <w:sz w:val="24"/>
          <w:szCs w:val="24"/>
          <w:lang w:val="en-US"/>
        </w:rPr>
        <w:t xml:space="preserve">the prospects for compliance </w:t>
      </w:r>
      <w:r w:rsidRPr="00F17126">
        <w:rPr>
          <w:rFonts w:ascii="Times New Roman" w:hAnsi="Times New Roman" w:cs="Times New Roman"/>
          <w:sz w:val="24"/>
          <w:szCs w:val="24"/>
          <w:lang w:val="en-US"/>
        </w:rPr>
        <w:t>ar</w:t>
      </w:r>
      <w:r w:rsidR="00D02E8D" w:rsidRPr="00F17126">
        <w:rPr>
          <w:rFonts w:ascii="Times New Roman" w:hAnsi="Times New Roman" w:cs="Times New Roman"/>
          <w:sz w:val="24"/>
          <w:szCs w:val="24"/>
          <w:lang w:val="en-US"/>
        </w:rPr>
        <w:t xml:space="preserve">e reasonably good, because the </w:t>
      </w:r>
      <w:r w:rsidR="00820E85" w:rsidRPr="00F17126">
        <w:rPr>
          <w:rFonts w:ascii="Times New Roman" w:hAnsi="Times New Roman" w:cs="Times New Roman"/>
          <w:sz w:val="24"/>
          <w:szCs w:val="24"/>
          <w:lang w:val="en-US"/>
        </w:rPr>
        <w:t>PA</w:t>
      </w:r>
      <w:r w:rsidR="00D02E8D" w:rsidRPr="00F17126">
        <w:rPr>
          <w:rFonts w:ascii="Times New Roman" w:hAnsi="Times New Roman" w:cs="Times New Roman"/>
          <w:sz w:val="24"/>
          <w:szCs w:val="24"/>
          <w:lang w:val="en-US"/>
        </w:rPr>
        <w:t xml:space="preserve"> reflects a consensus among nations that climate change concerns all, because climate change mitigation is </w:t>
      </w:r>
      <w:r w:rsidR="00BF1E21" w:rsidRPr="00F17126">
        <w:rPr>
          <w:rFonts w:ascii="Times New Roman" w:hAnsi="Times New Roman" w:cs="Times New Roman"/>
          <w:sz w:val="24"/>
          <w:szCs w:val="24"/>
          <w:lang w:val="en-US"/>
        </w:rPr>
        <w:t xml:space="preserve">gradually </w:t>
      </w:r>
      <w:r w:rsidR="00D02E8D" w:rsidRPr="00F17126">
        <w:rPr>
          <w:rFonts w:ascii="Times New Roman" w:hAnsi="Times New Roman" w:cs="Times New Roman"/>
          <w:sz w:val="24"/>
          <w:szCs w:val="24"/>
          <w:lang w:val="en-US"/>
        </w:rPr>
        <w:t xml:space="preserve">becoming more beneficial in financial terms, and because many NDCs do not deviate radically from a </w:t>
      </w:r>
      <w:r w:rsidR="008D4F20">
        <w:rPr>
          <w:rFonts w:ascii="Times New Roman" w:hAnsi="Times New Roman" w:cs="Times New Roman"/>
          <w:sz w:val="24"/>
          <w:szCs w:val="24"/>
          <w:lang w:val="en-US"/>
        </w:rPr>
        <w:t>BAU</w:t>
      </w:r>
      <w:r w:rsidR="00D02E8D" w:rsidRPr="00F17126">
        <w:rPr>
          <w:rFonts w:ascii="Times New Roman" w:hAnsi="Times New Roman" w:cs="Times New Roman"/>
          <w:sz w:val="24"/>
          <w:szCs w:val="24"/>
          <w:lang w:val="en-US"/>
        </w:rPr>
        <w:t xml:space="preserve"> scenario. </w:t>
      </w:r>
      <w:r w:rsidR="0032091D" w:rsidRPr="00F17126">
        <w:rPr>
          <w:rFonts w:ascii="Times New Roman" w:hAnsi="Times New Roman" w:cs="Times New Roman"/>
          <w:sz w:val="24"/>
          <w:szCs w:val="24"/>
          <w:lang w:val="en-US"/>
        </w:rPr>
        <w:t>Finally</w:t>
      </w:r>
      <w:r w:rsidR="000C1F71">
        <w:rPr>
          <w:rFonts w:ascii="Times New Roman" w:hAnsi="Times New Roman" w:cs="Times New Roman"/>
          <w:sz w:val="24"/>
          <w:szCs w:val="24"/>
          <w:lang w:val="en-US"/>
        </w:rPr>
        <w:t>,</w:t>
      </w:r>
      <w:r w:rsidR="0032091D" w:rsidRPr="00F17126">
        <w:rPr>
          <w:rFonts w:ascii="Times New Roman" w:hAnsi="Times New Roman" w:cs="Times New Roman"/>
          <w:sz w:val="24"/>
          <w:szCs w:val="24"/>
          <w:lang w:val="en-US"/>
        </w:rPr>
        <w:t xml:space="preserve"> a</w:t>
      </w:r>
      <w:r w:rsidR="00FA4F60" w:rsidRPr="00F17126">
        <w:rPr>
          <w:rFonts w:ascii="Times New Roman" w:hAnsi="Times New Roman" w:cs="Times New Roman"/>
          <w:sz w:val="24"/>
          <w:szCs w:val="24"/>
          <w:lang w:val="en-US"/>
        </w:rPr>
        <w:t xml:space="preserve"> series of survey experiments </w:t>
      </w:r>
      <w:r w:rsidR="0032091D" w:rsidRPr="00F17126">
        <w:rPr>
          <w:rFonts w:ascii="Times New Roman" w:hAnsi="Times New Roman" w:cs="Times New Roman"/>
          <w:sz w:val="24"/>
          <w:szCs w:val="24"/>
          <w:lang w:val="en-US"/>
        </w:rPr>
        <w:t>find</w:t>
      </w:r>
      <w:r w:rsidR="00FA4F60" w:rsidRPr="00F17126">
        <w:rPr>
          <w:rFonts w:ascii="Times New Roman" w:hAnsi="Times New Roman" w:cs="Times New Roman"/>
          <w:sz w:val="24"/>
          <w:szCs w:val="24"/>
          <w:lang w:val="en-US"/>
        </w:rPr>
        <w:t xml:space="preserve"> that public opinion in major emitter countries </w:t>
      </w:r>
      <w:r w:rsidR="000C1F71">
        <w:rPr>
          <w:rFonts w:ascii="Times New Roman" w:hAnsi="Times New Roman" w:cs="Times New Roman"/>
          <w:sz w:val="24"/>
          <w:szCs w:val="24"/>
          <w:lang w:val="en-US"/>
        </w:rPr>
        <w:t>is</w:t>
      </w:r>
      <w:r w:rsidR="000C1F71" w:rsidRPr="00F17126">
        <w:rPr>
          <w:rFonts w:ascii="Times New Roman" w:hAnsi="Times New Roman" w:cs="Times New Roman"/>
          <w:sz w:val="24"/>
          <w:szCs w:val="24"/>
          <w:lang w:val="en-US"/>
        </w:rPr>
        <w:t xml:space="preserve"> </w:t>
      </w:r>
      <w:r w:rsidR="00FA4F60" w:rsidRPr="00F17126">
        <w:rPr>
          <w:rFonts w:ascii="Times New Roman" w:hAnsi="Times New Roman" w:cs="Times New Roman"/>
          <w:sz w:val="24"/>
          <w:szCs w:val="24"/>
          <w:lang w:val="en-US"/>
        </w:rPr>
        <w:t xml:space="preserve">surprisingly positively inclined </w:t>
      </w:r>
      <w:r w:rsidR="00B04029">
        <w:rPr>
          <w:rFonts w:ascii="Times New Roman" w:hAnsi="Times New Roman" w:cs="Times New Roman"/>
          <w:sz w:val="24"/>
          <w:szCs w:val="24"/>
          <w:lang w:val="en-US"/>
        </w:rPr>
        <w:t>toward</w:t>
      </w:r>
      <w:r w:rsidR="00B04029" w:rsidRPr="00F17126">
        <w:rPr>
          <w:rFonts w:ascii="Times New Roman" w:hAnsi="Times New Roman" w:cs="Times New Roman"/>
          <w:sz w:val="24"/>
          <w:szCs w:val="24"/>
          <w:lang w:val="en-US"/>
        </w:rPr>
        <w:t xml:space="preserve"> </w:t>
      </w:r>
      <w:r w:rsidR="0032091D" w:rsidRPr="00F17126">
        <w:rPr>
          <w:rFonts w:ascii="Times New Roman" w:hAnsi="Times New Roman" w:cs="Times New Roman"/>
          <w:sz w:val="24"/>
          <w:szCs w:val="24"/>
          <w:lang w:val="en-US"/>
        </w:rPr>
        <w:t xml:space="preserve">domestic </w:t>
      </w:r>
      <w:r w:rsidR="00FA4F60" w:rsidRPr="00F17126">
        <w:rPr>
          <w:rFonts w:ascii="Times New Roman" w:hAnsi="Times New Roman" w:cs="Times New Roman"/>
          <w:sz w:val="24"/>
          <w:szCs w:val="24"/>
          <w:lang w:val="en-US"/>
        </w:rPr>
        <w:lastRenderedPageBreak/>
        <w:t>emissions reductions, regardless of whether other countries reciprocate (Bernauer et al.</w:t>
      </w:r>
      <w:r w:rsidR="00131B35" w:rsidRPr="00F17126">
        <w:rPr>
          <w:rFonts w:ascii="Times New Roman" w:hAnsi="Times New Roman" w:cs="Times New Roman"/>
          <w:sz w:val="24"/>
          <w:szCs w:val="24"/>
          <w:lang w:val="en-US"/>
        </w:rPr>
        <w:t>,</w:t>
      </w:r>
      <w:r w:rsidR="00FA4F60" w:rsidRPr="00F17126">
        <w:rPr>
          <w:rFonts w:ascii="Times New Roman" w:hAnsi="Times New Roman" w:cs="Times New Roman"/>
          <w:sz w:val="24"/>
          <w:szCs w:val="24"/>
          <w:lang w:val="en-US"/>
        </w:rPr>
        <w:t xml:space="preserve"> 2016; Bernauer </w:t>
      </w:r>
      <w:r w:rsidR="00503950" w:rsidRPr="00F17126">
        <w:rPr>
          <w:rFonts w:ascii="Times New Roman" w:hAnsi="Times New Roman" w:cs="Times New Roman"/>
          <w:sz w:val="24"/>
          <w:szCs w:val="24"/>
          <w:lang w:val="en-US"/>
        </w:rPr>
        <w:t>&amp;</w:t>
      </w:r>
      <w:r w:rsidR="00FA4F60" w:rsidRPr="00F17126">
        <w:rPr>
          <w:rFonts w:ascii="Times New Roman" w:hAnsi="Times New Roman" w:cs="Times New Roman"/>
          <w:sz w:val="24"/>
          <w:szCs w:val="24"/>
          <w:lang w:val="en-US"/>
        </w:rPr>
        <w:t xml:space="preserve"> Gampfer</w:t>
      </w:r>
      <w:r w:rsidR="00131B35" w:rsidRPr="00F17126">
        <w:rPr>
          <w:rFonts w:ascii="Times New Roman" w:hAnsi="Times New Roman" w:cs="Times New Roman"/>
          <w:sz w:val="24"/>
          <w:szCs w:val="24"/>
          <w:lang w:val="en-US"/>
        </w:rPr>
        <w:t>,</w:t>
      </w:r>
      <w:r w:rsidR="00FA4F60" w:rsidRPr="00F17126">
        <w:rPr>
          <w:rFonts w:ascii="Times New Roman" w:hAnsi="Times New Roman" w:cs="Times New Roman"/>
          <w:sz w:val="24"/>
          <w:szCs w:val="24"/>
          <w:lang w:val="en-US"/>
        </w:rPr>
        <w:t xml:space="preserve"> 2015; McGrath </w:t>
      </w:r>
      <w:r w:rsidR="00503950" w:rsidRPr="00F17126">
        <w:rPr>
          <w:rFonts w:ascii="Times New Roman" w:hAnsi="Times New Roman" w:cs="Times New Roman"/>
          <w:sz w:val="24"/>
          <w:szCs w:val="24"/>
          <w:lang w:val="en-US"/>
        </w:rPr>
        <w:t>&amp;</w:t>
      </w:r>
      <w:r w:rsidR="00FA4F60" w:rsidRPr="00F17126">
        <w:rPr>
          <w:rFonts w:ascii="Times New Roman" w:hAnsi="Times New Roman" w:cs="Times New Roman"/>
          <w:sz w:val="24"/>
          <w:szCs w:val="24"/>
          <w:lang w:val="en-US"/>
        </w:rPr>
        <w:t xml:space="preserve"> Bernauer</w:t>
      </w:r>
      <w:r w:rsidR="00131B35" w:rsidRPr="00F17126">
        <w:rPr>
          <w:rFonts w:ascii="Times New Roman" w:hAnsi="Times New Roman" w:cs="Times New Roman"/>
          <w:sz w:val="24"/>
          <w:szCs w:val="24"/>
          <w:lang w:val="en-US"/>
        </w:rPr>
        <w:t>,</w:t>
      </w:r>
      <w:r w:rsidR="00FA4F60" w:rsidRPr="00F17126">
        <w:rPr>
          <w:rFonts w:ascii="Times New Roman" w:hAnsi="Times New Roman" w:cs="Times New Roman"/>
          <w:sz w:val="24"/>
          <w:szCs w:val="24"/>
          <w:lang w:val="en-US"/>
        </w:rPr>
        <w:t xml:space="preserve"> 2017).   </w:t>
      </w:r>
      <w:r w:rsidR="00D02E8D" w:rsidRPr="00F17126">
        <w:rPr>
          <w:rFonts w:ascii="Times New Roman" w:hAnsi="Times New Roman" w:cs="Times New Roman"/>
          <w:sz w:val="24"/>
          <w:szCs w:val="24"/>
          <w:lang w:val="en-US"/>
        </w:rPr>
        <w:t xml:space="preserve"> </w:t>
      </w:r>
    </w:p>
    <w:p w14:paraId="20F69F26" w14:textId="34CB1671" w:rsidR="00403DCF" w:rsidRPr="00F17126" w:rsidRDefault="002569EB"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M</w:t>
      </w:r>
      <w:r w:rsidR="00F232F9" w:rsidRPr="00F17126">
        <w:rPr>
          <w:rFonts w:ascii="Times New Roman" w:hAnsi="Times New Roman" w:cs="Times New Roman"/>
          <w:sz w:val="24"/>
          <w:szCs w:val="24"/>
          <w:lang w:val="en-US"/>
        </w:rPr>
        <w:t>any scholars hold</w:t>
      </w:r>
      <w:r w:rsidR="00F0122A" w:rsidRPr="00F17126">
        <w:rPr>
          <w:rFonts w:ascii="Times New Roman" w:hAnsi="Times New Roman" w:cs="Times New Roman"/>
          <w:sz w:val="24"/>
          <w:szCs w:val="24"/>
          <w:lang w:val="en-US"/>
        </w:rPr>
        <w:t xml:space="preserve"> transparency</w:t>
      </w:r>
      <w:r w:rsidR="00F232F9" w:rsidRPr="00F17126">
        <w:rPr>
          <w:rFonts w:ascii="Times New Roman" w:hAnsi="Times New Roman" w:cs="Times New Roman"/>
          <w:sz w:val="24"/>
          <w:szCs w:val="24"/>
          <w:lang w:val="en-US"/>
        </w:rPr>
        <w:t xml:space="preserve"> </w:t>
      </w:r>
      <w:r w:rsidR="00DF310C" w:rsidRPr="00F17126">
        <w:rPr>
          <w:rFonts w:ascii="Times New Roman" w:hAnsi="Times New Roman" w:cs="Times New Roman"/>
          <w:sz w:val="24"/>
          <w:szCs w:val="24"/>
          <w:lang w:val="en-US"/>
        </w:rPr>
        <w:t xml:space="preserve">and leadership </w:t>
      </w:r>
      <w:r w:rsidR="00F232F9" w:rsidRPr="00F17126">
        <w:rPr>
          <w:rFonts w:ascii="Times New Roman" w:hAnsi="Times New Roman" w:cs="Times New Roman"/>
          <w:sz w:val="24"/>
          <w:szCs w:val="24"/>
          <w:lang w:val="en-US"/>
        </w:rPr>
        <w:t xml:space="preserve">to be </w:t>
      </w:r>
      <w:r w:rsidR="000C1F71">
        <w:rPr>
          <w:rFonts w:ascii="Times New Roman" w:hAnsi="Times New Roman" w:cs="Times New Roman"/>
          <w:sz w:val="24"/>
          <w:szCs w:val="24"/>
          <w:lang w:val="en-US"/>
        </w:rPr>
        <w:t>crucial</w:t>
      </w:r>
      <w:r w:rsidRPr="00F17126">
        <w:rPr>
          <w:rFonts w:ascii="Times New Roman" w:hAnsi="Times New Roman" w:cs="Times New Roman"/>
          <w:sz w:val="24"/>
          <w:szCs w:val="24"/>
          <w:lang w:val="en-US"/>
        </w:rPr>
        <w:t xml:space="preserve"> for achieving high compliance</w:t>
      </w:r>
      <w:r w:rsidR="00F232F9" w:rsidRPr="00F17126">
        <w:rPr>
          <w:rFonts w:ascii="Times New Roman" w:hAnsi="Times New Roman" w:cs="Times New Roman"/>
          <w:sz w:val="24"/>
          <w:szCs w:val="24"/>
          <w:lang w:val="en-US"/>
        </w:rPr>
        <w:t>.</w:t>
      </w:r>
      <w:r w:rsidR="00F0122A" w:rsidRPr="00F17126">
        <w:rPr>
          <w:rFonts w:ascii="Times New Roman" w:hAnsi="Times New Roman" w:cs="Times New Roman"/>
          <w:sz w:val="24"/>
          <w:szCs w:val="24"/>
          <w:lang w:val="en-US"/>
        </w:rPr>
        <w:t xml:space="preserve"> </w:t>
      </w:r>
      <w:r w:rsidR="00053590" w:rsidRPr="00F17126">
        <w:rPr>
          <w:rFonts w:ascii="Times New Roman" w:hAnsi="Times New Roman" w:cs="Times New Roman"/>
          <w:sz w:val="24"/>
          <w:szCs w:val="24"/>
          <w:lang w:val="en-US"/>
        </w:rPr>
        <w:t>To promote</w:t>
      </w:r>
      <w:r w:rsidR="00C73AF1" w:rsidRPr="00F17126">
        <w:rPr>
          <w:rFonts w:ascii="Times New Roman" w:hAnsi="Times New Roman" w:cs="Times New Roman"/>
          <w:sz w:val="24"/>
          <w:szCs w:val="24"/>
          <w:lang w:val="en-US"/>
        </w:rPr>
        <w:t xml:space="preserve"> transparency, t</w:t>
      </w:r>
      <w:r w:rsidR="00CF3492" w:rsidRPr="00F17126">
        <w:rPr>
          <w:rFonts w:ascii="Times New Roman" w:hAnsi="Times New Roman" w:cs="Times New Roman"/>
          <w:sz w:val="24"/>
          <w:szCs w:val="24"/>
          <w:lang w:val="en-US"/>
        </w:rPr>
        <w:t xml:space="preserve">he </w:t>
      </w:r>
      <w:r w:rsidR="00820E85" w:rsidRPr="00F17126">
        <w:rPr>
          <w:rFonts w:ascii="Times New Roman" w:hAnsi="Times New Roman" w:cs="Times New Roman"/>
          <w:sz w:val="24"/>
          <w:szCs w:val="24"/>
          <w:lang w:val="en-US"/>
        </w:rPr>
        <w:t>PA</w:t>
      </w:r>
      <w:r w:rsidR="00DF310C" w:rsidRPr="00F17126">
        <w:rPr>
          <w:rFonts w:ascii="Times New Roman" w:hAnsi="Times New Roman" w:cs="Times New Roman"/>
          <w:sz w:val="24"/>
          <w:szCs w:val="24"/>
          <w:lang w:val="en-US"/>
        </w:rPr>
        <w:t xml:space="preserve"> creates three </w:t>
      </w:r>
      <w:r w:rsidR="00C73AF1" w:rsidRPr="00F17126">
        <w:rPr>
          <w:rFonts w:ascii="Times New Roman" w:hAnsi="Times New Roman" w:cs="Times New Roman"/>
          <w:sz w:val="24"/>
          <w:szCs w:val="24"/>
          <w:lang w:val="en-US"/>
        </w:rPr>
        <w:t>formal review processes – the global stocktake (</w:t>
      </w:r>
      <w:r w:rsidR="008D4F20">
        <w:rPr>
          <w:rFonts w:ascii="Times New Roman" w:hAnsi="Times New Roman" w:cs="Times New Roman"/>
          <w:sz w:val="24"/>
          <w:szCs w:val="24"/>
          <w:lang w:val="en-US"/>
        </w:rPr>
        <w:t>Art.</w:t>
      </w:r>
      <w:r w:rsidR="00C73AF1" w:rsidRPr="00F17126">
        <w:rPr>
          <w:rFonts w:ascii="Times New Roman" w:hAnsi="Times New Roman" w:cs="Times New Roman"/>
          <w:sz w:val="24"/>
          <w:szCs w:val="24"/>
          <w:lang w:val="en-US"/>
        </w:rPr>
        <w:t xml:space="preserve"> 14), the transparency framework (</w:t>
      </w:r>
      <w:r w:rsidR="008D4F20">
        <w:rPr>
          <w:rFonts w:ascii="Times New Roman" w:hAnsi="Times New Roman" w:cs="Times New Roman"/>
          <w:sz w:val="24"/>
          <w:szCs w:val="24"/>
          <w:lang w:val="en-US"/>
        </w:rPr>
        <w:t>Art.</w:t>
      </w:r>
      <w:r w:rsidR="008D4F20" w:rsidRPr="00F17126">
        <w:rPr>
          <w:rFonts w:ascii="Times New Roman" w:hAnsi="Times New Roman" w:cs="Times New Roman"/>
          <w:sz w:val="24"/>
          <w:szCs w:val="24"/>
          <w:lang w:val="en-US"/>
        </w:rPr>
        <w:t xml:space="preserve"> </w:t>
      </w:r>
      <w:r w:rsidR="00C73AF1" w:rsidRPr="00F17126">
        <w:rPr>
          <w:rFonts w:ascii="Times New Roman" w:hAnsi="Times New Roman" w:cs="Times New Roman"/>
          <w:sz w:val="24"/>
          <w:szCs w:val="24"/>
          <w:lang w:val="en-US"/>
        </w:rPr>
        <w:t>13), and the implementation and compliance mechanism</w:t>
      </w:r>
      <w:r w:rsidR="00A778C4" w:rsidRPr="00F17126">
        <w:rPr>
          <w:rFonts w:ascii="Times New Roman" w:hAnsi="Times New Roman" w:cs="Times New Roman"/>
          <w:sz w:val="24"/>
          <w:szCs w:val="24"/>
          <w:lang w:val="en-US"/>
        </w:rPr>
        <w:t xml:space="preserve"> (</w:t>
      </w:r>
      <w:r w:rsidR="008D4F20">
        <w:rPr>
          <w:rFonts w:ascii="Times New Roman" w:hAnsi="Times New Roman" w:cs="Times New Roman"/>
          <w:sz w:val="24"/>
          <w:szCs w:val="24"/>
          <w:lang w:val="en-US"/>
        </w:rPr>
        <w:t>Art.</w:t>
      </w:r>
      <w:r w:rsidR="00A778C4" w:rsidRPr="00F17126">
        <w:rPr>
          <w:rFonts w:ascii="Times New Roman" w:hAnsi="Times New Roman" w:cs="Times New Roman"/>
          <w:sz w:val="24"/>
          <w:szCs w:val="24"/>
          <w:lang w:val="en-US"/>
        </w:rPr>
        <w:t xml:space="preserve"> 15)</w:t>
      </w:r>
      <w:r w:rsidR="00C73AF1" w:rsidRPr="00F17126">
        <w:rPr>
          <w:rFonts w:ascii="Times New Roman" w:hAnsi="Times New Roman" w:cs="Times New Roman"/>
          <w:sz w:val="24"/>
          <w:szCs w:val="24"/>
          <w:lang w:val="en-US"/>
        </w:rPr>
        <w:t>.</w:t>
      </w:r>
      <w:r w:rsidR="00F232F9" w:rsidRPr="00F17126">
        <w:rPr>
          <w:rFonts w:ascii="Times New Roman" w:hAnsi="Times New Roman" w:cs="Times New Roman"/>
          <w:sz w:val="24"/>
          <w:szCs w:val="24"/>
          <w:lang w:val="en-US"/>
        </w:rPr>
        <w:t xml:space="preserve"> </w:t>
      </w:r>
      <w:r w:rsidR="00C73AF1" w:rsidRPr="00F17126">
        <w:rPr>
          <w:rFonts w:ascii="Times New Roman" w:hAnsi="Times New Roman" w:cs="Times New Roman"/>
          <w:sz w:val="24"/>
          <w:szCs w:val="24"/>
          <w:lang w:val="en-US"/>
        </w:rPr>
        <w:t xml:space="preserve">Outside these formal review processes, non-state actors will likely contribute </w:t>
      </w:r>
      <w:r w:rsidR="00A778C4" w:rsidRPr="00F17126">
        <w:rPr>
          <w:rFonts w:ascii="Times New Roman" w:hAnsi="Times New Roman" w:cs="Times New Roman"/>
          <w:sz w:val="24"/>
          <w:szCs w:val="24"/>
          <w:lang w:val="en-US"/>
        </w:rPr>
        <w:t xml:space="preserve">significantly </w:t>
      </w:r>
      <w:r w:rsidR="00C73AF1" w:rsidRPr="00F17126">
        <w:rPr>
          <w:rFonts w:ascii="Times New Roman" w:hAnsi="Times New Roman" w:cs="Times New Roman"/>
          <w:sz w:val="24"/>
          <w:szCs w:val="24"/>
          <w:lang w:val="en-US"/>
        </w:rPr>
        <w:t>to enhancing transparency</w:t>
      </w:r>
      <w:r w:rsidR="00A778C4" w:rsidRPr="00F17126">
        <w:rPr>
          <w:rFonts w:ascii="Times New Roman" w:hAnsi="Times New Roman" w:cs="Times New Roman"/>
          <w:sz w:val="24"/>
          <w:szCs w:val="24"/>
          <w:lang w:val="en-US"/>
        </w:rPr>
        <w:t xml:space="preserve"> (</w:t>
      </w:r>
      <w:r w:rsidR="006D565C" w:rsidRPr="00F17126">
        <w:rPr>
          <w:rFonts w:ascii="Times New Roman" w:hAnsi="Times New Roman" w:cs="Times New Roman"/>
          <w:sz w:val="24"/>
          <w:szCs w:val="24"/>
          <w:lang w:val="en-US"/>
        </w:rPr>
        <w:t xml:space="preserve">van </w:t>
      </w:r>
      <w:r w:rsidR="00A778C4" w:rsidRPr="00F17126">
        <w:rPr>
          <w:rFonts w:ascii="Times New Roman" w:hAnsi="Times New Roman" w:cs="Times New Roman"/>
          <w:sz w:val="24"/>
          <w:szCs w:val="24"/>
          <w:lang w:val="en-US"/>
        </w:rPr>
        <w:t>Asselt</w:t>
      </w:r>
      <w:r w:rsidR="00131B35" w:rsidRPr="00F17126">
        <w:rPr>
          <w:rFonts w:ascii="Times New Roman" w:hAnsi="Times New Roman" w:cs="Times New Roman"/>
          <w:sz w:val="24"/>
          <w:szCs w:val="24"/>
          <w:lang w:val="en-US"/>
        </w:rPr>
        <w:t>,</w:t>
      </w:r>
      <w:r w:rsidR="00A778C4" w:rsidRPr="00F17126">
        <w:rPr>
          <w:rFonts w:ascii="Times New Roman" w:hAnsi="Times New Roman" w:cs="Times New Roman"/>
          <w:sz w:val="24"/>
          <w:szCs w:val="24"/>
          <w:lang w:val="en-US"/>
        </w:rPr>
        <w:t xml:space="preserve"> 2015)</w:t>
      </w:r>
      <w:r w:rsidR="00C73AF1" w:rsidRPr="00F17126">
        <w:rPr>
          <w:rFonts w:ascii="Times New Roman" w:hAnsi="Times New Roman" w:cs="Times New Roman"/>
          <w:sz w:val="24"/>
          <w:szCs w:val="24"/>
          <w:lang w:val="en-US"/>
        </w:rPr>
        <w:t>.</w:t>
      </w:r>
      <w:r w:rsidR="00544D8A" w:rsidRPr="00544D8A">
        <w:rPr>
          <w:rStyle w:val="FootnoteReference"/>
          <w:rFonts w:ascii="Times New Roman" w:hAnsi="Times New Roman" w:cs="Times New Roman"/>
          <w:sz w:val="24"/>
          <w:szCs w:val="24"/>
          <w:lang w:val="en-US"/>
        </w:rPr>
        <w:t xml:space="preserve"> </w:t>
      </w:r>
      <w:r w:rsidR="00544D8A" w:rsidRPr="0009104A">
        <w:rPr>
          <w:rStyle w:val="FootnoteReference"/>
          <w:rFonts w:ascii="Times New Roman" w:hAnsi="Times New Roman" w:cs="Times New Roman"/>
          <w:sz w:val="24"/>
          <w:szCs w:val="24"/>
          <w:lang w:val="en-US"/>
        </w:rPr>
        <w:footnoteReference w:id="7"/>
      </w:r>
      <w:r w:rsidR="00544D8A" w:rsidRPr="0009104A">
        <w:rPr>
          <w:rFonts w:ascii="Times New Roman" w:hAnsi="Times New Roman" w:cs="Times New Roman"/>
          <w:sz w:val="24"/>
          <w:szCs w:val="24"/>
          <w:lang w:val="en-US"/>
        </w:rPr>
        <w:t xml:space="preserve"> </w:t>
      </w:r>
      <w:r w:rsidR="00403DCF" w:rsidRPr="00F17126">
        <w:rPr>
          <w:rFonts w:ascii="Times New Roman" w:hAnsi="Times New Roman" w:cs="Times New Roman"/>
          <w:sz w:val="24"/>
          <w:szCs w:val="24"/>
          <w:lang w:val="en-US"/>
        </w:rPr>
        <w:t>However,</w:t>
      </w:r>
      <w:r w:rsidR="00053590" w:rsidRPr="00F17126">
        <w:rPr>
          <w:rFonts w:ascii="Times New Roman" w:hAnsi="Times New Roman" w:cs="Times New Roman"/>
          <w:sz w:val="24"/>
          <w:szCs w:val="24"/>
          <w:lang w:val="en-US"/>
        </w:rPr>
        <w:t xml:space="preserve"> countries’ NDCs differ in terms of base year, target year, and procedures for assessing and validating </w:t>
      </w:r>
      <w:r w:rsidR="000C1F71">
        <w:rPr>
          <w:rFonts w:ascii="Times New Roman" w:hAnsi="Times New Roman" w:cs="Times New Roman"/>
          <w:sz w:val="24"/>
          <w:szCs w:val="24"/>
          <w:lang w:val="en-US"/>
        </w:rPr>
        <w:t>progress</w:t>
      </w:r>
      <w:r w:rsidR="00403DCF" w:rsidRPr="00F17126">
        <w:rPr>
          <w:rFonts w:ascii="Times New Roman" w:hAnsi="Times New Roman" w:cs="Times New Roman"/>
          <w:sz w:val="24"/>
          <w:szCs w:val="24"/>
          <w:lang w:val="en-US"/>
        </w:rPr>
        <w:t xml:space="preserve"> (Young</w:t>
      </w:r>
      <w:r w:rsidR="00131B35" w:rsidRPr="00F17126">
        <w:rPr>
          <w:rFonts w:ascii="Times New Roman" w:hAnsi="Times New Roman" w:cs="Times New Roman"/>
          <w:sz w:val="24"/>
          <w:szCs w:val="24"/>
          <w:lang w:val="en-US"/>
        </w:rPr>
        <w:t>,</w:t>
      </w:r>
      <w:r w:rsidR="00403DCF" w:rsidRPr="00F17126">
        <w:rPr>
          <w:rFonts w:ascii="Times New Roman" w:hAnsi="Times New Roman" w:cs="Times New Roman"/>
          <w:sz w:val="24"/>
          <w:szCs w:val="24"/>
          <w:lang w:val="en-US"/>
        </w:rPr>
        <w:t xml:space="preserve"> 2016)</w:t>
      </w:r>
      <w:r w:rsidR="00053590" w:rsidRPr="00F17126">
        <w:rPr>
          <w:rFonts w:ascii="Times New Roman" w:hAnsi="Times New Roman" w:cs="Times New Roman"/>
          <w:sz w:val="24"/>
          <w:szCs w:val="24"/>
          <w:lang w:val="en-US"/>
        </w:rPr>
        <w:t xml:space="preserve">. While </w:t>
      </w:r>
      <w:r w:rsidR="00403DCF" w:rsidRPr="00F17126">
        <w:rPr>
          <w:rFonts w:ascii="Times New Roman" w:hAnsi="Times New Roman" w:cs="Times New Roman"/>
          <w:sz w:val="24"/>
          <w:szCs w:val="24"/>
          <w:lang w:val="en-US"/>
        </w:rPr>
        <w:t>such</w:t>
      </w:r>
      <w:r w:rsidR="00053590" w:rsidRPr="00F17126">
        <w:rPr>
          <w:rFonts w:ascii="Times New Roman" w:hAnsi="Times New Roman" w:cs="Times New Roman"/>
          <w:sz w:val="24"/>
          <w:szCs w:val="24"/>
          <w:lang w:val="en-US"/>
        </w:rPr>
        <w:t xml:space="preserve"> differences make assessments challenging, they also reflect the overall flexibility of </w:t>
      </w:r>
      <w:r w:rsidR="00403DCF" w:rsidRPr="00F17126">
        <w:rPr>
          <w:rFonts w:ascii="Times New Roman" w:hAnsi="Times New Roman" w:cs="Times New Roman"/>
          <w:sz w:val="24"/>
          <w:szCs w:val="24"/>
          <w:lang w:val="en-US"/>
        </w:rPr>
        <w:t xml:space="preserve">the </w:t>
      </w:r>
      <w:r w:rsidR="00053590" w:rsidRPr="00F17126">
        <w:rPr>
          <w:rFonts w:ascii="Times New Roman" w:hAnsi="Times New Roman" w:cs="Times New Roman"/>
          <w:sz w:val="24"/>
          <w:szCs w:val="24"/>
          <w:lang w:val="en-US"/>
        </w:rPr>
        <w:t xml:space="preserve">pledge-and-review system, which enables countries to tailor their NDCs to match “the interests and views of domestic constituents” </w:t>
      </w:r>
      <w:r w:rsidR="00403DCF" w:rsidRPr="00F17126">
        <w:rPr>
          <w:rFonts w:ascii="Times New Roman" w:hAnsi="Times New Roman" w:cs="Times New Roman"/>
          <w:sz w:val="24"/>
          <w:szCs w:val="24"/>
          <w:lang w:val="en-US"/>
        </w:rPr>
        <w:t xml:space="preserve">(Keohane </w:t>
      </w:r>
      <w:r w:rsidR="004440E2" w:rsidRPr="00F17126">
        <w:rPr>
          <w:rFonts w:ascii="Times New Roman" w:hAnsi="Times New Roman" w:cs="Times New Roman"/>
          <w:sz w:val="24"/>
          <w:szCs w:val="24"/>
          <w:lang w:val="en-US"/>
        </w:rPr>
        <w:t>&amp;</w:t>
      </w:r>
      <w:r w:rsidR="00403DCF" w:rsidRPr="00F17126">
        <w:rPr>
          <w:rFonts w:ascii="Times New Roman" w:hAnsi="Times New Roman" w:cs="Times New Roman"/>
          <w:sz w:val="24"/>
          <w:szCs w:val="24"/>
          <w:lang w:val="en-US"/>
        </w:rPr>
        <w:t xml:space="preserve"> Oppenheimer</w:t>
      </w:r>
      <w:r w:rsidR="00131B35" w:rsidRPr="00F17126">
        <w:rPr>
          <w:rFonts w:ascii="Times New Roman" w:hAnsi="Times New Roman" w:cs="Times New Roman"/>
          <w:sz w:val="24"/>
          <w:szCs w:val="24"/>
          <w:lang w:val="en-US"/>
        </w:rPr>
        <w:t>,</w:t>
      </w:r>
      <w:r w:rsidR="00403DCF" w:rsidRPr="00F17126">
        <w:rPr>
          <w:rFonts w:ascii="Times New Roman" w:hAnsi="Times New Roman" w:cs="Times New Roman"/>
          <w:sz w:val="24"/>
          <w:szCs w:val="24"/>
          <w:lang w:val="en-US"/>
        </w:rPr>
        <w:t xml:space="preserve"> 2016</w:t>
      </w:r>
      <w:r w:rsidR="008F7F61">
        <w:rPr>
          <w:rFonts w:ascii="Times New Roman" w:hAnsi="Times New Roman" w:cs="Times New Roman"/>
          <w:sz w:val="24"/>
          <w:szCs w:val="24"/>
          <w:lang w:val="en-US"/>
        </w:rPr>
        <w:t>, p.</w:t>
      </w:r>
      <w:r w:rsidR="00466C62" w:rsidRPr="00F17126">
        <w:rPr>
          <w:rFonts w:ascii="Times New Roman" w:hAnsi="Times New Roman" w:cs="Times New Roman"/>
          <w:sz w:val="24"/>
          <w:szCs w:val="24"/>
          <w:lang w:val="en-US"/>
        </w:rPr>
        <w:t xml:space="preserve"> 146</w:t>
      </w:r>
      <w:r w:rsidR="00403DCF" w:rsidRPr="00F17126">
        <w:rPr>
          <w:rFonts w:ascii="Times New Roman" w:hAnsi="Times New Roman" w:cs="Times New Roman"/>
          <w:sz w:val="24"/>
          <w:szCs w:val="24"/>
          <w:lang w:val="en-US"/>
        </w:rPr>
        <w:t>)</w:t>
      </w:r>
      <w:r w:rsidR="00053590" w:rsidRPr="00F17126">
        <w:rPr>
          <w:rFonts w:ascii="Times New Roman" w:hAnsi="Times New Roman" w:cs="Times New Roman"/>
          <w:sz w:val="24"/>
          <w:szCs w:val="24"/>
          <w:lang w:val="en-US"/>
        </w:rPr>
        <w:t xml:space="preserve">. </w:t>
      </w:r>
    </w:p>
    <w:p w14:paraId="304448F3" w14:textId="06EE620E" w:rsidR="007B530D" w:rsidRPr="00F17126" w:rsidRDefault="00053590"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Nevertheless, developing NDCs and enhancing the basis for comparability and progress assessments remain high-priority concern</w:t>
      </w:r>
      <w:r w:rsidR="000C1F71">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(Victor</w:t>
      </w:r>
      <w:r w:rsidR="00131B3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t>
      </w:r>
      <w:r w:rsidR="00A669C8" w:rsidRPr="00F17126">
        <w:rPr>
          <w:rFonts w:ascii="Times New Roman" w:hAnsi="Times New Roman" w:cs="Times New Roman"/>
          <w:sz w:val="24"/>
          <w:szCs w:val="24"/>
          <w:lang w:val="en-US"/>
        </w:rPr>
        <w:t>T</w:t>
      </w:r>
      <w:r w:rsidR="00F232F9" w:rsidRPr="00F17126">
        <w:rPr>
          <w:rFonts w:ascii="Times New Roman" w:hAnsi="Times New Roman" w:cs="Times New Roman"/>
          <w:sz w:val="24"/>
          <w:szCs w:val="24"/>
          <w:lang w:val="en-US"/>
        </w:rPr>
        <w:t xml:space="preserve">ransparency is needed </w:t>
      </w:r>
      <w:r w:rsidR="00403DCF" w:rsidRPr="00F17126">
        <w:rPr>
          <w:rFonts w:ascii="Times New Roman" w:hAnsi="Times New Roman" w:cs="Times New Roman"/>
          <w:sz w:val="24"/>
          <w:szCs w:val="24"/>
          <w:lang w:val="en-US"/>
        </w:rPr>
        <w:t xml:space="preserve">precisely </w:t>
      </w:r>
      <w:r w:rsidR="00F232F9" w:rsidRPr="00F17126">
        <w:rPr>
          <w:rFonts w:ascii="Times New Roman" w:hAnsi="Times New Roman" w:cs="Times New Roman"/>
          <w:sz w:val="24"/>
          <w:szCs w:val="24"/>
          <w:lang w:val="en-US"/>
        </w:rPr>
        <w:t xml:space="preserve">to </w:t>
      </w:r>
      <w:r w:rsidR="007B530D" w:rsidRPr="00F17126">
        <w:rPr>
          <w:rFonts w:ascii="Times New Roman" w:hAnsi="Times New Roman" w:cs="Times New Roman"/>
          <w:sz w:val="24"/>
          <w:szCs w:val="24"/>
          <w:lang w:val="en-US"/>
        </w:rPr>
        <w:t>assist</w:t>
      </w:r>
      <w:r w:rsidR="00F232F9" w:rsidRPr="00F17126">
        <w:rPr>
          <w:rFonts w:ascii="Times New Roman" w:hAnsi="Times New Roman" w:cs="Times New Roman"/>
          <w:sz w:val="24"/>
          <w:szCs w:val="24"/>
          <w:lang w:val="en-US"/>
        </w:rPr>
        <w:t xml:space="preserve"> international comparison of national policies and thus to </w:t>
      </w:r>
      <w:r w:rsidR="007B530D" w:rsidRPr="00F17126">
        <w:rPr>
          <w:rFonts w:ascii="Times New Roman" w:hAnsi="Times New Roman" w:cs="Times New Roman"/>
          <w:sz w:val="24"/>
          <w:szCs w:val="24"/>
          <w:lang w:val="en-US"/>
        </w:rPr>
        <w:t xml:space="preserve">enable </w:t>
      </w:r>
      <w:r w:rsidR="00403DCF" w:rsidRPr="00F17126">
        <w:rPr>
          <w:rFonts w:ascii="Times New Roman" w:hAnsi="Times New Roman" w:cs="Times New Roman"/>
          <w:sz w:val="24"/>
          <w:szCs w:val="24"/>
          <w:lang w:val="en-US"/>
        </w:rPr>
        <w:t xml:space="preserve">effective naming and shaming </w:t>
      </w:r>
      <w:r w:rsidR="00F232F9" w:rsidRPr="00F17126">
        <w:rPr>
          <w:rFonts w:ascii="Times New Roman" w:hAnsi="Times New Roman" w:cs="Times New Roman"/>
          <w:sz w:val="24"/>
          <w:szCs w:val="24"/>
          <w:lang w:val="en-US"/>
        </w:rPr>
        <w:t xml:space="preserve">through expert review, peer pressure among states, and </w:t>
      </w:r>
      <w:r w:rsidR="000B27D8" w:rsidRPr="00F17126">
        <w:rPr>
          <w:rFonts w:ascii="Times New Roman" w:hAnsi="Times New Roman" w:cs="Times New Roman"/>
          <w:sz w:val="24"/>
          <w:szCs w:val="24"/>
          <w:lang w:val="en-US"/>
        </w:rPr>
        <w:t xml:space="preserve">green NGOs’ scrutiny </w:t>
      </w:r>
      <w:r w:rsidR="00F232F9" w:rsidRPr="00F17126">
        <w:rPr>
          <w:rFonts w:ascii="Times New Roman" w:hAnsi="Times New Roman" w:cs="Times New Roman"/>
          <w:sz w:val="24"/>
          <w:szCs w:val="24"/>
          <w:lang w:val="en-US"/>
        </w:rPr>
        <w:t>domestic</w:t>
      </w:r>
      <w:r w:rsidR="000B27D8" w:rsidRPr="00F17126">
        <w:rPr>
          <w:rFonts w:ascii="Times New Roman" w:hAnsi="Times New Roman" w:cs="Times New Roman"/>
          <w:sz w:val="24"/>
          <w:szCs w:val="24"/>
          <w:lang w:val="en-US"/>
        </w:rPr>
        <w:t>ally</w:t>
      </w:r>
      <w:r w:rsidR="00F232F9" w:rsidRPr="00F17126">
        <w:rPr>
          <w:rFonts w:ascii="Times New Roman" w:hAnsi="Times New Roman" w:cs="Times New Roman"/>
          <w:sz w:val="24"/>
          <w:szCs w:val="24"/>
          <w:lang w:val="en-US"/>
        </w:rPr>
        <w:t xml:space="preserve"> and international</w:t>
      </w:r>
      <w:r w:rsidR="000B27D8" w:rsidRPr="00F17126">
        <w:rPr>
          <w:rFonts w:ascii="Times New Roman" w:hAnsi="Times New Roman" w:cs="Times New Roman"/>
          <w:sz w:val="24"/>
          <w:szCs w:val="24"/>
          <w:lang w:val="en-US"/>
        </w:rPr>
        <w:t>ly</w:t>
      </w:r>
      <w:r w:rsidR="00A669C8" w:rsidRPr="00F17126">
        <w:rPr>
          <w:rFonts w:ascii="Times New Roman" w:hAnsi="Times New Roman" w:cs="Times New Roman"/>
          <w:sz w:val="24"/>
          <w:szCs w:val="24"/>
          <w:lang w:val="en-US"/>
        </w:rPr>
        <w:t xml:space="preserve"> (Falkner</w:t>
      </w:r>
      <w:r w:rsidR="00131B35" w:rsidRPr="00F17126">
        <w:rPr>
          <w:rFonts w:ascii="Times New Roman" w:hAnsi="Times New Roman" w:cs="Times New Roman"/>
          <w:sz w:val="24"/>
          <w:szCs w:val="24"/>
          <w:lang w:val="en-US"/>
        </w:rPr>
        <w:t>,</w:t>
      </w:r>
      <w:r w:rsidR="00A669C8"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w:t>
      </w:r>
      <w:r w:rsidR="00A669C8" w:rsidRPr="00F17126">
        <w:rPr>
          <w:rFonts w:ascii="Times New Roman" w:hAnsi="Times New Roman" w:cs="Times New Roman"/>
          <w:sz w:val="24"/>
          <w:szCs w:val="24"/>
          <w:lang w:val="en-US"/>
        </w:rPr>
        <w:t xml:space="preserve"> 1121)</w:t>
      </w:r>
      <w:r w:rsidR="000B27D8" w:rsidRPr="00F17126">
        <w:rPr>
          <w:rFonts w:ascii="Times New Roman" w:hAnsi="Times New Roman" w:cs="Times New Roman"/>
          <w:sz w:val="24"/>
          <w:szCs w:val="24"/>
          <w:lang w:val="en-US"/>
        </w:rPr>
        <w:t>.</w:t>
      </w:r>
      <w:r w:rsidR="00DF310C" w:rsidRPr="00F17126">
        <w:rPr>
          <w:rFonts w:ascii="Times New Roman" w:hAnsi="Times New Roman" w:cs="Times New Roman"/>
          <w:sz w:val="24"/>
          <w:szCs w:val="24"/>
          <w:lang w:val="en-US"/>
        </w:rPr>
        <w:t xml:space="preserve"> </w:t>
      </w:r>
    </w:p>
    <w:p w14:paraId="46AF6B71" w14:textId="2B5A3ADD" w:rsidR="00DF310C" w:rsidRPr="00F17126" w:rsidRDefault="00403DCF"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In addition, t</w:t>
      </w:r>
      <w:r w:rsidR="00DF310C" w:rsidRPr="00F17126">
        <w:rPr>
          <w:rFonts w:ascii="Times New Roman" w:hAnsi="Times New Roman" w:cs="Times New Roman"/>
          <w:sz w:val="24"/>
          <w:szCs w:val="24"/>
          <w:lang w:val="en-US"/>
        </w:rPr>
        <w:t xml:space="preserve">ransparency is also important for limiting </w:t>
      </w:r>
      <w:r w:rsidR="00BE61B0">
        <w:rPr>
          <w:rFonts w:ascii="Times New Roman" w:hAnsi="Times New Roman" w:cs="Times New Roman"/>
          <w:sz w:val="24"/>
          <w:szCs w:val="24"/>
          <w:lang w:val="en-US"/>
        </w:rPr>
        <w:t>possibilities</w:t>
      </w:r>
      <w:r w:rsidR="00DF310C" w:rsidRPr="00F17126">
        <w:rPr>
          <w:rFonts w:ascii="Times New Roman" w:hAnsi="Times New Roman" w:cs="Times New Roman"/>
          <w:sz w:val="24"/>
          <w:szCs w:val="24"/>
          <w:lang w:val="en-US"/>
        </w:rPr>
        <w:t xml:space="preserve"> for creative accounting. </w:t>
      </w:r>
      <w:r w:rsidR="00C73AF1" w:rsidRPr="00F17126">
        <w:rPr>
          <w:rFonts w:ascii="Times New Roman" w:hAnsi="Times New Roman" w:cs="Times New Roman"/>
          <w:sz w:val="24"/>
          <w:szCs w:val="24"/>
          <w:lang w:val="en-US"/>
        </w:rPr>
        <w:t xml:space="preserve">Consider </w:t>
      </w:r>
      <w:r w:rsidR="00DF310C" w:rsidRPr="00F17126">
        <w:rPr>
          <w:rFonts w:ascii="Times New Roman" w:hAnsi="Times New Roman" w:cs="Times New Roman"/>
          <w:sz w:val="24"/>
          <w:szCs w:val="24"/>
          <w:lang w:val="en-US"/>
        </w:rPr>
        <w:t xml:space="preserve">developed countries’ pledge under the Copenhagen Accord (and renewed in the </w:t>
      </w:r>
      <w:r w:rsidR="00820E85" w:rsidRPr="00F17126">
        <w:rPr>
          <w:rFonts w:ascii="Times New Roman" w:hAnsi="Times New Roman" w:cs="Times New Roman"/>
          <w:sz w:val="24"/>
          <w:szCs w:val="24"/>
          <w:lang w:val="en-US"/>
        </w:rPr>
        <w:t>PA</w:t>
      </w:r>
      <w:r w:rsidR="00DF310C" w:rsidRPr="00F17126">
        <w:rPr>
          <w:rFonts w:ascii="Times New Roman" w:hAnsi="Times New Roman" w:cs="Times New Roman"/>
          <w:sz w:val="24"/>
          <w:szCs w:val="24"/>
          <w:lang w:val="en-US"/>
        </w:rPr>
        <w:t>) to provide at least US$100 billion yearly in climate finance to developing countries by 2020. A</w:t>
      </w:r>
      <w:r w:rsidR="009C5941" w:rsidRPr="00F17126">
        <w:rPr>
          <w:rFonts w:ascii="Times New Roman" w:hAnsi="Times New Roman" w:cs="Times New Roman"/>
          <w:sz w:val="24"/>
          <w:szCs w:val="24"/>
          <w:lang w:val="en-US"/>
        </w:rPr>
        <w:t>n</w:t>
      </w:r>
      <w:r w:rsidR="00DF310C" w:rsidRPr="00F17126">
        <w:rPr>
          <w:rFonts w:ascii="Times New Roman" w:hAnsi="Times New Roman" w:cs="Times New Roman"/>
          <w:sz w:val="24"/>
          <w:szCs w:val="24"/>
          <w:lang w:val="en-US"/>
        </w:rPr>
        <w:t xml:space="preserve"> OECD report found that by 2014, private and public sources had already pledged as much as US$62 billion (OECD</w:t>
      </w:r>
      <w:r w:rsidR="00131B35" w:rsidRPr="00F17126">
        <w:rPr>
          <w:rFonts w:ascii="Times New Roman" w:hAnsi="Times New Roman" w:cs="Times New Roman"/>
          <w:sz w:val="24"/>
          <w:szCs w:val="24"/>
          <w:lang w:val="en-US"/>
        </w:rPr>
        <w:t>,</w:t>
      </w:r>
      <w:r w:rsidR="00DF310C" w:rsidRPr="00F17126">
        <w:rPr>
          <w:rFonts w:ascii="Times New Roman" w:hAnsi="Times New Roman" w:cs="Times New Roman"/>
          <w:sz w:val="24"/>
          <w:szCs w:val="24"/>
          <w:lang w:val="en-US"/>
        </w:rPr>
        <w:t xml:space="preserve"> 2015), which would seem to indicate </w:t>
      </w:r>
      <w:r w:rsidR="009C5941" w:rsidRPr="00F17126">
        <w:rPr>
          <w:rFonts w:ascii="Times New Roman" w:hAnsi="Times New Roman" w:cs="Times New Roman"/>
          <w:sz w:val="24"/>
          <w:szCs w:val="24"/>
          <w:lang w:val="en-US"/>
        </w:rPr>
        <w:t xml:space="preserve">reasonably </w:t>
      </w:r>
      <w:r w:rsidR="00DF310C" w:rsidRPr="00F17126">
        <w:rPr>
          <w:rFonts w:ascii="Times New Roman" w:hAnsi="Times New Roman" w:cs="Times New Roman"/>
          <w:sz w:val="24"/>
          <w:szCs w:val="24"/>
          <w:lang w:val="en-US"/>
        </w:rPr>
        <w:t xml:space="preserve">high compliance with this pledge. However, </w:t>
      </w:r>
      <w:r w:rsidR="009C5941" w:rsidRPr="00F17126">
        <w:rPr>
          <w:rFonts w:ascii="Times New Roman" w:hAnsi="Times New Roman" w:cs="Times New Roman"/>
          <w:sz w:val="24"/>
          <w:szCs w:val="24"/>
          <w:lang w:val="en-US"/>
        </w:rPr>
        <w:t>developing countries</w:t>
      </w:r>
      <w:r w:rsidR="00DF310C" w:rsidRPr="00F17126">
        <w:rPr>
          <w:rFonts w:ascii="Times New Roman" w:hAnsi="Times New Roman" w:cs="Times New Roman"/>
          <w:sz w:val="24"/>
          <w:szCs w:val="24"/>
          <w:lang w:val="en-US"/>
        </w:rPr>
        <w:t xml:space="preserve"> </w:t>
      </w:r>
      <w:r w:rsidR="004E1AAA" w:rsidRPr="00F17126">
        <w:rPr>
          <w:rFonts w:ascii="Times New Roman" w:hAnsi="Times New Roman" w:cs="Times New Roman"/>
          <w:sz w:val="24"/>
          <w:szCs w:val="24"/>
          <w:lang w:val="en-US"/>
        </w:rPr>
        <w:t xml:space="preserve">(notably India) </w:t>
      </w:r>
      <w:r w:rsidR="00DF310C" w:rsidRPr="00F17126">
        <w:rPr>
          <w:rFonts w:ascii="Times New Roman" w:hAnsi="Times New Roman" w:cs="Times New Roman"/>
          <w:sz w:val="24"/>
          <w:szCs w:val="24"/>
          <w:lang w:val="en-US"/>
        </w:rPr>
        <w:t>seriously questioned the</w:t>
      </w:r>
      <w:r w:rsidR="002569EB" w:rsidRPr="00F17126">
        <w:rPr>
          <w:rFonts w:ascii="Times New Roman" w:hAnsi="Times New Roman" w:cs="Times New Roman"/>
          <w:sz w:val="24"/>
          <w:szCs w:val="24"/>
          <w:lang w:val="en-US"/>
        </w:rPr>
        <w:t>se</w:t>
      </w:r>
      <w:r w:rsidR="00DF310C" w:rsidRPr="00F17126">
        <w:rPr>
          <w:rFonts w:ascii="Times New Roman" w:hAnsi="Times New Roman" w:cs="Times New Roman"/>
          <w:sz w:val="24"/>
          <w:szCs w:val="24"/>
          <w:lang w:val="en-US"/>
        </w:rPr>
        <w:t xml:space="preserve"> OECD figures, </w:t>
      </w:r>
      <w:r w:rsidR="004E1AAA" w:rsidRPr="00F17126">
        <w:rPr>
          <w:rFonts w:ascii="Times New Roman" w:hAnsi="Times New Roman" w:cs="Times New Roman"/>
          <w:sz w:val="24"/>
          <w:szCs w:val="24"/>
          <w:lang w:val="en-US"/>
        </w:rPr>
        <w:t>argu</w:t>
      </w:r>
      <w:r w:rsidR="00DF310C" w:rsidRPr="00F17126">
        <w:rPr>
          <w:rFonts w:ascii="Times New Roman" w:hAnsi="Times New Roman" w:cs="Times New Roman"/>
          <w:sz w:val="24"/>
          <w:szCs w:val="24"/>
          <w:lang w:val="en-US"/>
        </w:rPr>
        <w:t xml:space="preserve">ing that the true amount of fresh funds </w:t>
      </w:r>
      <w:r w:rsidR="00A669C8" w:rsidRPr="00F17126">
        <w:rPr>
          <w:rFonts w:ascii="Times New Roman" w:hAnsi="Times New Roman" w:cs="Times New Roman"/>
          <w:sz w:val="24"/>
          <w:szCs w:val="24"/>
          <w:lang w:val="en-US"/>
        </w:rPr>
        <w:t>at the time</w:t>
      </w:r>
      <w:r w:rsidR="00DF310C" w:rsidRPr="00F17126">
        <w:rPr>
          <w:rFonts w:ascii="Times New Roman" w:hAnsi="Times New Roman" w:cs="Times New Roman"/>
          <w:sz w:val="24"/>
          <w:szCs w:val="24"/>
          <w:lang w:val="en-US"/>
        </w:rPr>
        <w:t xml:space="preserve"> </w:t>
      </w:r>
      <w:r w:rsidR="00BE61B0">
        <w:rPr>
          <w:rFonts w:ascii="Times New Roman" w:hAnsi="Times New Roman" w:cs="Times New Roman"/>
          <w:sz w:val="24"/>
          <w:szCs w:val="24"/>
          <w:lang w:val="en-US"/>
        </w:rPr>
        <w:t>might</w:t>
      </w:r>
      <w:r w:rsidR="00BE61B0" w:rsidRPr="00F17126">
        <w:rPr>
          <w:rFonts w:ascii="Times New Roman" w:hAnsi="Times New Roman" w:cs="Times New Roman"/>
          <w:sz w:val="24"/>
          <w:szCs w:val="24"/>
          <w:lang w:val="en-US"/>
        </w:rPr>
        <w:t xml:space="preserve"> </w:t>
      </w:r>
      <w:r w:rsidR="00DF310C" w:rsidRPr="00F17126">
        <w:rPr>
          <w:rFonts w:ascii="Times New Roman" w:hAnsi="Times New Roman" w:cs="Times New Roman"/>
          <w:sz w:val="24"/>
          <w:szCs w:val="24"/>
          <w:lang w:val="en-US"/>
        </w:rPr>
        <w:t>have been as low as US$2.5</w:t>
      </w:r>
      <w:r w:rsidR="008F7F61">
        <w:rPr>
          <w:rFonts w:ascii="Times New Roman" w:hAnsi="Times New Roman" w:cs="Times New Roman"/>
          <w:sz w:val="24"/>
          <w:szCs w:val="24"/>
          <w:lang w:val="en-US"/>
        </w:rPr>
        <w:t xml:space="preserve"> billion</w:t>
      </w:r>
      <w:r w:rsidR="00DF310C" w:rsidRPr="00F17126">
        <w:rPr>
          <w:rFonts w:ascii="Times New Roman" w:hAnsi="Times New Roman" w:cs="Times New Roman"/>
          <w:sz w:val="24"/>
          <w:szCs w:val="24"/>
          <w:lang w:val="en-US"/>
        </w:rPr>
        <w:t>, the difference being due to “relabeling or redirection of existing official development flows” (Clémençon</w:t>
      </w:r>
      <w:r w:rsidR="00131B35" w:rsidRPr="00F17126">
        <w:rPr>
          <w:rFonts w:ascii="Times New Roman" w:hAnsi="Times New Roman" w:cs="Times New Roman"/>
          <w:sz w:val="24"/>
          <w:szCs w:val="24"/>
          <w:lang w:val="en-US"/>
        </w:rPr>
        <w:t>,</w:t>
      </w:r>
      <w:r w:rsidR="00DF310C" w:rsidRPr="00F17126">
        <w:rPr>
          <w:rFonts w:ascii="Times New Roman" w:hAnsi="Times New Roman" w:cs="Times New Roman"/>
          <w:sz w:val="24"/>
          <w:szCs w:val="24"/>
          <w:lang w:val="en-US"/>
        </w:rPr>
        <w:t xml:space="preserve"> 2016</w:t>
      </w:r>
      <w:r w:rsidR="008F7F61">
        <w:rPr>
          <w:rFonts w:ascii="Times New Roman" w:hAnsi="Times New Roman" w:cs="Times New Roman"/>
          <w:sz w:val="24"/>
          <w:szCs w:val="24"/>
          <w:lang w:val="en-US"/>
        </w:rPr>
        <w:t>, p.</w:t>
      </w:r>
      <w:r w:rsidR="00DF310C" w:rsidRPr="00F17126">
        <w:rPr>
          <w:rFonts w:ascii="Times New Roman" w:hAnsi="Times New Roman" w:cs="Times New Roman"/>
          <w:sz w:val="24"/>
          <w:szCs w:val="24"/>
          <w:lang w:val="en-US"/>
        </w:rPr>
        <w:t xml:space="preserve"> 11).</w:t>
      </w:r>
    </w:p>
    <w:p w14:paraId="52B9ADBC" w14:textId="3132B129" w:rsidR="003D4593" w:rsidRPr="00F17126" w:rsidRDefault="00F232F9"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A second </w:t>
      </w:r>
      <w:r w:rsidR="00C03A66">
        <w:rPr>
          <w:rFonts w:ascii="Times New Roman" w:hAnsi="Times New Roman" w:cs="Times New Roman"/>
          <w:sz w:val="24"/>
          <w:szCs w:val="24"/>
          <w:lang w:val="en-US"/>
        </w:rPr>
        <w:t>important</w:t>
      </w:r>
      <w:r w:rsidR="00C03A66"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factor is leadership by major emitters</w:t>
      </w:r>
      <w:r w:rsidR="009C5941" w:rsidRPr="00F17126">
        <w:rPr>
          <w:rFonts w:ascii="Times New Roman" w:hAnsi="Times New Roman" w:cs="Times New Roman"/>
          <w:sz w:val="24"/>
          <w:szCs w:val="24"/>
          <w:lang w:val="en-US"/>
        </w:rPr>
        <w:t>.</w:t>
      </w:r>
      <w:r w:rsidR="00A778C4" w:rsidRPr="00F17126">
        <w:rPr>
          <w:rFonts w:ascii="Times New Roman" w:hAnsi="Times New Roman" w:cs="Times New Roman"/>
          <w:sz w:val="24"/>
          <w:szCs w:val="24"/>
          <w:lang w:val="en-US"/>
        </w:rPr>
        <w:t xml:space="preserve"> The 2014 climate agreement between the </w:t>
      </w:r>
      <w:r w:rsidR="00A669C8" w:rsidRPr="00F17126">
        <w:rPr>
          <w:rFonts w:ascii="Times New Roman" w:hAnsi="Times New Roman" w:cs="Times New Roman"/>
          <w:sz w:val="24"/>
          <w:szCs w:val="24"/>
          <w:lang w:val="en-US"/>
        </w:rPr>
        <w:t xml:space="preserve">world’s two biggest emitters of </w:t>
      </w:r>
      <w:r w:rsidR="00C03A66">
        <w:rPr>
          <w:rFonts w:ascii="Times New Roman" w:hAnsi="Times New Roman" w:cs="Times New Roman"/>
          <w:sz w:val="24"/>
          <w:szCs w:val="24"/>
          <w:lang w:val="en-US"/>
        </w:rPr>
        <w:t>GHGs</w:t>
      </w:r>
      <w:r w:rsidR="00A669C8" w:rsidRPr="00F17126">
        <w:rPr>
          <w:rFonts w:ascii="Times New Roman" w:hAnsi="Times New Roman" w:cs="Times New Roman"/>
          <w:sz w:val="24"/>
          <w:szCs w:val="24"/>
          <w:lang w:val="en-US"/>
        </w:rPr>
        <w:t xml:space="preserve"> – the </w:t>
      </w:r>
      <w:r w:rsidR="00A778C4" w:rsidRPr="00F17126">
        <w:rPr>
          <w:rFonts w:ascii="Times New Roman" w:hAnsi="Times New Roman" w:cs="Times New Roman"/>
          <w:sz w:val="24"/>
          <w:szCs w:val="24"/>
          <w:lang w:val="en-US"/>
        </w:rPr>
        <w:t xml:space="preserve">United States and China </w:t>
      </w:r>
      <w:r w:rsidR="00A669C8" w:rsidRPr="00F17126">
        <w:rPr>
          <w:rFonts w:ascii="Times New Roman" w:hAnsi="Times New Roman" w:cs="Times New Roman"/>
          <w:sz w:val="24"/>
          <w:szCs w:val="24"/>
          <w:lang w:val="en-US"/>
        </w:rPr>
        <w:t xml:space="preserve">– </w:t>
      </w:r>
      <w:r w:rsidR="00A778C4" w:rsidRPr="00F17126">
        <w:rPr>
          <w:rFonts w:ascii="Times New Roman" w:hAnsi="Times New Roman" w:cs="Times New Roman"/>
          <w:sz w:val="24"/>
          <w:szCs w:val="24"/>
          <w:lang w:val="en-US"/>
        </w:rPr>
        <w:t xml:space="preserve">arguably </w:t>
      </w:r>
      <w:r w:rsidR="004E1AAA" w:rsidRPr="00F17126">
        <w:rPr>
          <w:rFonts w:ascii="Times New Roman" w:hAnsi="Times New Roman" w:cs="Times New Roman"/>
          <w:sz w:val="24"/>
          <w:szCs w:val="24"/>
          <w:lang w:val="en-US"/>
        </w:rPr>
        <w:t xml:space="preserve">set an example for other countries to follow and </w:t>
      </w:r>
      <w:r w:rsidR="005E73E2" w:rsidRPr="00F17126">
        <w:rPr>
          <w:rFonts w:ascii="Times New Roman" w:hAnsi="Times New Roman" w:cs="Times New Roman"/>
          <w:sz w:val="24"/>
          <w:szCs w:val="24"/>
          <w:lang w:val="en-US"/>
        </w:rPr>
        <w:t xml:space="preserve">thereby </w:t>
      </w:r>
      <w:r w:rsidR="004E1AAA" w:rsidRPr="00F17126">
        <w:rPr>
          <w:rFonts w:ascii="Times New Roman" w:hAnsi="Times New Roman" w:cs="Times New Roman"/>
          <w:sz w:val="24"/>
          <w:szCs w:val="24"/>
          <w:lang w:val="en-US"/>
        </w:rPr>
        <w:t xml:space="preserve">helped </w:t>
      </w:r>
      <w:r w:rsidR="00A778C4" w:rsidRPr="00F17126">
        <w:rPr>
          <w:rFonts w:ascii="Times New Roman" w:hAnsi="Times New Roman" w:cs="Times New Roman"/>
          <w:sz w:val="24"/>
          <w:szCs w:val="24"/>
          <w:lang w:val="en-US"/>
        </w:rPr>
        <w:t xml:space="preserve">pave the way for </w:t>
      </w:r>
      <w:r w:rsidR="007F15DF" w:rsidRPr="00F17126">
        <w:rPr>
          <w:rFonts w:ascii="Times New Roman" w:hAnsi="Times New Roman" w:cs="Times New Roman"/>
          <w:sz w:val="24"/>
          <w:szCs w:val="24"/>
          <w:lang w:val="en-US"/>
        </w:rPr>
        <w:t xml:space="preserve">broad </w:t>
      </w:r>
      <w:r w:rsidR="007F15DF" w:rsidRPr="00F17126">
        <w:rPr>
          <w:rFonts w:ascii="Times New Roman" w:hAnsi="Times New Roman" w:cs="Times New Roman"/>
          <w:sz w:val="24"/>
          <w:szCs w:val="24"/>
          <w:lang w:val="en-US"/>
        </w:rPr>
        <w:lastRenderedPageBreak/>
        <w:t xml:space="preserve">support for </w:t>
      </w:r>
      <w:r w:rsidR="004E1AAA" w:rsidRPr="00F17126">
        <w:rPr>
          <w:rFonts w:ascii="Times New Roman" w:hAnsi="Times New Roman" w:cs="Times New Roman"/>
          <w:sz w:val="24"/>
          <w:szCs w:val="24"/>
          <w:lang w:val="en-US"/>
        </w:rPr>
        <w:t>the</w:t>
      </w:r>
      <w:r w:rsidR="00A778C4" w:rsidRPr="00F17126">
        <w:rPr>
          <w:rFonts w:ascii="Times New Roman" w:hAnsi="Times New Roman" w:cs="Times New Roman"/>
          <w:sz w:val="24"/>
          <w:szCs w:val="24"/>
          <w:lang w:val="en-US"/>
        </w:rPr>
        <w:t xml:space="preserve"> </w:t>
      </w:r>
      <w:r w:rsidR="00820E85" w:rsidRPr="00F17126">
        <w:rPr>
          <w:rFonts w:ascii="Times New Roman" w:hAnsi="Times New Roman" w:cs="Times New Roman"/>
          <w:sz w:val="24"/>
          <w:szCs w:val="24"/>
          <w:lang w:val="en-US"/>
        </w:rPr>
        <w:t>PA</w:t>
      </w:r>
      <w:r w:rsidR="004E1AAA" w:rsidRPr="00F17126">
        <w:rPr>
          <w:rFonts w:ascii="Times New Roman" w:hAnsi="Times New Roman" w:cs="Times New Roman"/>
          <w:sz w:val="24"/>
          <w:szCs w:val="24"/>
          <w:lang w:val="en-US"/>
        </w:rPr>
        <w:t xml:space="preserve"> </w:t>
      </w:r>
      <w:r w:rsidR="00A778C4" w:rsidRPr="00F17126">
        <w:rPr>
          <w:rFonts w:ascii="Times New Roman" w:hAnsi="Times New Roman" w:cs="Times New Roman"/>
          <w:sz w:val="24"/>
          <w:szCs w:val="24"/>
          <w:lang w:val="en-US"/>
        </w:rPr>
        <w:t xml:space="preserve">a year later. </w:t>
      </w:r>
      <w:r w:rsidR="002569EB" w:rsidRPr="00F17126">
        <w:rPr>
          <w:rFonts w:ascii="Times New Roman" w:hAnsi="Times New Roman" w:cs="Times New Roman"/>
          <w:sz w:val="24"/>
          <w:szCs w:val="24"/>
          <w:lang w:val="en-US"/>
        </w:rPr>
        <w:t xml:space="preserve">While </w:t>
      </w:r>
      <w:r w:rsidR="00C03A66">
        <w:rPr>
          <w:rFonts w:ascii="Times New Roman" w:hAnsi="Times New Roman" w:cs="Times New Roman"/>
          <w:sz w:val="24"/>
          <w:szCs w:val="24"/>
          <w:lang w:val="en-US"/>
        </w:rPr>
        <w:t xml:space="preserve">the </w:t>
      </w:r>
      <w:r w:rsidR="002569EB" w:rsidRPr="00F17126">
        <w:rPr>
          <w:rFonts w:ascii="Times New Roman" w:hAnsi="Times New Roman" w:cs="Times New Roman"/>
          <w:sz w:val="24"/>
          <w:szCs w:val="24"/>
          <w:lang w:val="en-US"/>
        </w:rPr>
        <w:t>continued China</w:t>
      </w:r>
      <w:r w:rsidR="005C1D57">
        <w:rPr>
          <w:rFonts w:ascii="Times New Roman" w:hAnsi="Times New Roman" w:cs="Times New Roman"/>
          <w:sz w:val="24"/>
          <w:szCs w:val="24"/>
          <w:lang w:val="en-US"/>
        </w:rPr>
        <w:t>–</w:t>
      </w:r>
      <w:r w:rsidR="002569EB" w:rsidRPr="00F17126">
        <w:rPr>
          <w:rFonts w:ascii="Times New Roman" w:hAnsi="Times New Roman" w:cs="Times New Roman"/>
          <w:sz w:val="24"/>
          <w:szCs w:val="24"/>
          <w:lang w:val="en-US"/>
        </w:rPr>
        <w:t xml:space="preserve">US climate partnership might have proved conducive also for ambition as well as for compliance, their </w:t>
      </w:r>
      <w:r w:rsidR="005E73E2" w:rsidRPr="00F17126">
        <w:rPr>
          <w:rFonts w:ascii="Times New Roman" w:hAnsi="Times New Roman" w:cs="Times New Roman"/>
          <w:sz w:val="24"/>
          <w:szCs w:val="24"/>
          <w:lang w:val="en-US"/>
        </w:rPr>
        <w:t>leadership suffered a severe blow in June 2017, when President Trump announced</w:t>
      </w:r>
      <w:r w:rsidR="007531E0" w:rsidRPr="00F17126">
        <w:rPr>
          <w:rFonts w:ascii="Times New Roman" w:hAnsi="Times New Roman" w:cs="Times New Roman"/>
          <w:sz w:val="24"/>
          <w:szCs w:val="24"/>
          <w:lang w:val="en-US"/>
        </w:rPr>
        <w:t xml:space="preserve"> </w:t>
      </w:r>
      <w:r w:rsidR="008F7F61">
        <w:rPr>
          <w:rFonts w:ascii="Times New Roman" w:hAnsi="Times New Roman" w:cs="Times New Roman"/>
          <w:sz w:val="24"/>
          <w:szCs w:val="24"/>
          <w:lang w:val="en-US"/>
        </w:rPr>
        <w:t>the United States’</w:t>
      </w:r>
      <w:r w:rsidR="005E73E2" w:rsidRPr="00F17126">
        <w:rPr>
          <w:rFonts w:ascii="Times New Roman" w:hAnsi="Times New Roman" w:cs="Times New Roman"/>
          <w:sz w:val="24"/>
          <w:szCs w:val="24"/>
          <w:lang w:val="en-US"/>
        </w:rPr>
        <w:t xml:space="preserve"> withdraw</w:t>
      </w:r>
      <w:r w:rsidR="007531E0" w:rsidRPr="00F17126">
        <w:rPr>
          <w:rFonts w:ascii="Times New Roman" w:hAnsi="Times New Roman" w:cs="Times New Roman"/>
          <w:sz w:val="24"/>
          <w:szCs w:val="24"/>
          <w:lang w:val="en-US"/>
        </w:rPr>
        <w:t>al</w:t>
      </w:r>
      <w:r w:rsidR="005E73E2" w:rsidRPr="00F17126">
        <w:rPr>
          <w:rFonts w:ascii="Times New Roman" w:hAnsi="Times New Roman" w:cs="Times New Roman"/>
          <w:sz w:val="24"/>
          <w:szCs w:val="24"/>
          <w:lang w:val="en-US"/>
        </w:rPr>
        <w:t xml:space="preserve"> from </w:t>
      </w:r>
      <w:r w:rsidR="002569EB" w:rsidRPr="00F17126">
        <w:rPr>
          <w:rFonts w:ascii="Times New Roman" w:hAnsi="Times New Roman" w:cs="Times New Roman"/>
          <w:sz w:val="24"/>
          <w:szCs w:val="24"/>
          <w:lang w:val="en-US"/>
        </w:rPr>
        <w:t>the PA</w:t>
      </w:r>
      <w:r w:rsidR="005E73E2" w:rsidRPr="00F17126">
        <w:rPr>
          <w:rFonts w:ascii="Times New Roman" w:hAnsi="Times New Roman" w:cs="Times New Roman"/>
          <w:sz w:val="24"/>
          <w:szCs w:val="24"/>
          <w:lang w:val="en-US"/>
        </w:rPr>
        <w:t xml:space="preserve">. </w:t>
      </w:r>
      <w:r w:rsidR="004E1AAA" w:rsidRPr="00F17126">
        <w:rPr>
          <w:rFonts w:ascii="Times New Roman" w:hAnsi="Times New Roman" w:cs="Times New Roman"/>
          <w:sz w:val="24"/>
          <w:szCs w:val="24"/>
          <w:lang w:val="en-US"/>
        </w:rPr>
        <w:t xml:space="preserve">An important question </w:t>
      </w:r>
      <w:r w:rsidR="007C7E85">
        <w:rPr>
          <w:rFonts w:ascii="Times New Roman" w:hAnsi="Times New Roman" w:cs="Times New Roman"/>
          <w:sz w:val="24"/>
          <w:szCs w:val="24"/>
          <w:lang w:val="en-US"/>
        </w:rPr>
        <w:t xml:space="preserve">is </w:t>
      </w:r>
      <w:r w:rsidR="007F15DF" w:rsidRPr="00F17126">
        <w:rPr>
          <w:rFonts w:ascii="Times New Roman" w:hAnsi="Times New Roman" w:cs="Times New Roman"/>
          <w:sz w:val="24"/>
          <w:szCs w:val="24"/>
          <w:lang w:val="en-US"/>
        </w:rPr>
        <w:t>now</w:t>
      </w:r>
      <w:r w:rsidR="00C03A66">
        <w:rPr>
          <w:rFonts w:ascii="Times New Roman" w:hAnsi="Times New Roman" w:cs="Times New Roman"/>
          <w:sz w:val="24"/>
          <w:szCs w:val="24"/>
          <w:lang w:val="en-US"/>
        </w:rPr>
        <w:t>:</w:t>
      </w:r>
      <w:r w:rsidR="007F15DF" w:rsidRPr="00F17126">
        <w:rPr>
          <w:rFonts w:ascii="Times New Roman" w:hAnsi="Times New Roman" w:cs="Times New Roman"/>
          <w:sz w:val="24"/>
          <w:szCs w:val="24"/>
          <w:lang w:val="en-US"/>
        </w:rPr>
        <w:t xml:space="preserve"> </w:t>
      </w:r>
      <w:r w:rsidR="00C03A66">
        <w:rPr>
          <w:rFonts w:ascii="Times New Roman" w:hAnsi="Times New Roman" w:cs="Times New Roman"/>
          <w:sz w:val="24"/>
          <w:szCs w:val="24"/>
          <w:lang w:val="en-US"/>
        </w:rPr>
        <w:t>Can other main actors</w:t>
      </w:r>
      <w:r w:rsidR="004E1AAA" w:rsidRPr="00F17126">
        <w:rPr>
          <w:rFonts w:ascii="Times New Roman" w:hAnsi="Times New Roman" w:cs="Times New Roman"/>
          <w:sz w:val="24"/>
          <w:szCs w:val="24"/>
          <w:lang w:val="en-US"/>
        </w:rPr>
        <w:t xml:space="preserve"> </w:t>
      </w:r>
      <w:r w:rsidR="00C03A66">
        <w:rPr>
          <w:rFonts w:ascii="Times New Roman" w:hAnsi="Times New Roman" w:cs="Times New Roman"/>
          <w:sz w:val="24"/>
          <w:szCs w:val="24"/>
          <w:lang w:val="en-US"/>
        </w:rPr>
        <w:t>assume</w:t>
      </w:r>
      <w:r w:rsidR="007531E0" w:rsidRPr="00F17126">
        <w:rPr>
          <w:rFonts w:ascii="Times New Roman" w:hAnsi="Times New Roman" w:cs="Times New Roman"/>
          <w:sz w:val="24"/>
          <w:szCs w:val="24"/>
          <w:lang w:val="en-US"/>
        </w:rPr>
        <w:t xml:space="preserve"> </w:t>
      </w:r>
      <w:r w:rsidR="00C03A66">
        <w:rPr>
          <w:rFonts w:ascii="Times New Roman" w:hAnsi="Times New Roman" w:cs="Times New Roman"/>
          <w:sz w:val="24"/>
          <w:szCs w:val="24"/>
          <w:lang w:val="en-US"/>
        </w:rPr>
        <w:t>leadership roles to motivate other countries to</w:t>
      </w:r>
      <w:r w:rsidR="007F15DF" w:rsidRPr="00F17126">
        <w:rPr>
          <w:rFonts w:ascii="Times New Roman" w:hAnsi="Times New Roman" w:cs="Times New Roman"/>
          <w:sz w:val="24"/>
          <w:szCs w:val="24"/>
          <w:lang w:val="en-US"/>
        </w:rPr>
        <w:t xml:space="preserve"> adopt ambitious NDCs and comply with them</w:t>
      </w:r>
      <w:r w:rsidR="00C03A66">
        <w:rPr>
          <w:rFonts w:ascii="Times New Roman" w:hAnsi="Times New Roman" w:cs="Times New Roman"/>
          <w:sz w:val="24"/>
          <w:szCs w:val="24"/>
          <w:lang w:val="en-US"/>
        </w:rPr>
        <w:t>?</w:t>
      </w:r>
      <w:r w:rsidR="007F15DF" w:rsidRPr="00F17126">
        <w:rPr>
          <w:rFonts w:ascii="Times New Roman" w:hAnsi="Times New Roman" w:cs="Times New Roman"/>
          <w:sz w:val="24"/>
          <w:szCs w:val="24"/>
          <w:lang w:val="en-US"/>
        </w:rPr>
        <w:t xml:space="preserve"> I</w:t>
      </w:r>
      <w:r w:rsidR="00CE6A81" w:rsidRPr="00F17126">
        <w:rPr>
          <w:rFonts w:ascii="Times New Roman" w:hAnsi="Times New Roman" w:cs="Times New Roman"/>
          <w:sz w:val="24"/>
          <w:szCs w:val="24"/>
          <w:lang w:val="en-US"/>
        </w:rPr>
        <w:t xml:space="preserve">ndeed, </w:t>
      </w:r>
      <w:r w:rsidR="00334C27" w:rsidRPr="00F17126">
        <w:rPr>
          <w:rFonts w:ascii="Times New Roman" w:hAnsi="Times New Roman" w:cs="Times New Roman"/>
          <w:sz w:val="24"/>
          <w:szCs w:val="24"/>
          <w:lang w:val="en-US"/>
        </w:rPr>
        <w:t xml:space="preserve">the world currently </w:t>
      </w:r>
      <w:r w:rsidR="0021469A" w:rsidRPr="00F17126">
        <w:rPr>
          <w:rFonts w:ascii="Times New Roman" w:hAnsi="Times New Roman" w:cs="Times New Roman"/>
          <w:sz w:val="24"/>
          <w:szCs w:val="24"/>
          <w:lang w:val="en-US"/>
        </w:rPr>
        <w:t>“</w:t>
      </w:r>
      <w:r w:rsidR="00334C27" w:rsidRPr="00F17126">
        <w:rPr>
          <w:rFonts w:ascii="Times New Roman" w:hAnsi="Times New Roman" w:cs="Times New Roman"/>
          <w:sz w:val="24"/>
          <w:szCs w:val="24"/>
          <w:lang w:val="en-US"/>
        </w:rPr>
        <w:t>lacks a single undisputed leader in the field of climate change”</w:t>
      </w:r>
      <w:r w:rsidR="002569EB" w:rsidRPr="00F17126">
        <w:rPr>
          <w:rFonts w:ascii="Times New Roman" w:hAnsi="Times New Roman" w:cs="Times New Roman"/>
          <w:sz w:val="24"/>
          <w:szCs w:val="24"/>
          <w:lang w:val="en-US"/>
        </w:rPr>
        <w:t xml:space="preserve"> (Parker et al.</w:t>
      </w:r>
      <w:r w:rsidR="00131B35" w:rsidRPr="00F17126">
        <w:rPr>
          <w:rFonts w:ascii="Times New Roman" w:hAnsi="Times New Roman" w:cs="Times New Roman"/>
          <w:sz w:val="24"/>
          <w:szCs w:val="24"/>
          <w:lang w:val="en-US"/>
        </w:rPr>
        <w:t>,</w:t>
      </w:r>
      <w:r w:rsidR="002569EB" w:rsidRPr="00F17126">
        <w:rPr>
          <w:rFonts w:ascii="Times New Roman" w:hAnsi="Times New Roman" w:cs="Times New Roman"/>
          <w:sz w:val="24"/>
          <w:szCs w:val="24"/>
          <w:lang w:val="en-US"/>
        </w:rPr>
        <w:t xml:space="preserve"> 2015</w:t>
      </w:r>
      <w:r w:rsidR="008F7F61">
        <w:rPr>
          <w:rFonts w:ascii="Times New Roman" w:hAnsi="Times New Roman" w:cs="Times New Roman"/>
          <w:sz w:val="24"/>
          <w:szCs w:val="24"/>
          <w:lang w:val="en-US"/>
        </w:rPr>
        <w:t>, p.</w:t>
      </w:r>
      <w:r w:rsidR="002569EB" w:rsidRPr="00F17126">
        <w:rPr>
          <w:rFonts w:ascii="Times New Roman" w:hAnsi="Times New Roman" w:cs="Times New Roman"/>
          <w:sz w:val="24"/>
          <w:szCs w:val="24"/>
          <w:lang w:val="en-US"/>
        </w:rPr>
        <w:t xml:space="preserve"> 443)</w:t>
      </w:r>
      <w:r w:rsidR="00334C27" w:rsidRPr="00F17126">
        <w:rPr>
          <w:rFonts w:ascii="Times New Roman" w:hAnsi="Times New Roman" w:cs="Times New Roman"/>
          <w:sz w:val="24"/>
          <w:szCs w:val="24"/>
          <w:lang w:val="en-US"/>
        </w:rPr>
        <w:t>.</w:t>
      </w:r>
      <w:r w:rsidR="00466C62" w:rsidRPr="00F17126">
        <w:rPr>
          <w:rFonts w:ascii="Times New Roman" w:hAnsi="Times New Roman" w:cs="Times New Roman"/>
          <w:sz w:val="24"/>
          <w:szCs w:val="24"/>
          <w:lang w:val="en-US"/>
        </w:rPr>
        <w:t xml:space="preserve"> </w:t>
      </w:r>
      <w:r w:rsidR="007F15DF" w:rsidRPr="00F17126">
        <w:rPr>
          <w:rFonts w:ascii="Times New Roman" w:hAnsi="Times New Roman" w:cs="Times New Roman"/>
          <w:sz w:val="24"/>
          <w:szCs w:val="24"/>
          <w:lang w:val="en-US"/>
        </w:rPr>
        <w:t>In particular</w:t>
      </w:r>
      <w:r w:rsidR="007531E0" w:rsidRPr="00F17126">
        <w:rPr>
          <w:rFonts w:ascii="Times New Roman" w:hAnsi="Times New Roman" w:cs="Times New Roman"/>
          <w:sz w:val="24"/>
          <w:szCs w:val="24"/>
          <w:lang w:val="en-US"/>
        </w:rPr>
        <w:t>, the</w:t>
      </w:r>
      <w:r w:rsidR="00466C62" w:rsidRPr="00F17126">
        <w:rPr>
          <w:rFonts w:ascii="Times New Roman" w:hAnsi="Times New Roman" w:cs="Times New Roman"/>
          <w:sz w:val="24"/>
          <w:szCs w:val="24"/>
          <w:lang w:val="en-US"/>
        </w:rPr>
        <w:t xml:space="preserve"> </w:t>
      </w:r>
      <w:r w:rsidR="008F7F61">
        <w:rPr>
          <w:rFonts w:ascii="Times New Roman" w:hAnsi="Times New Roman" w:cs="Times New Roman"/>
          <w:sz w:val="24"/>
          <w:szCs w:val="24"/>
          <w:lang w:val="en-US"/>
        </w:rPr>
        <w:t>European Union</w:t>
      </w:r>
      <w:r w:rsidR="00466C62" w:rsidRPr="00F17126">
        <w:rPr>
          <w:rFonts w:ascii="Times New Roman" w:hAnsi="Times New Roman" w:cs="Times New Roman"/>
          <w:sz w:val="24"/>
          <w:szCs w:val="24"/>
          <w:lang w:val="en-US"/>
        </w:rPr>
        <w:t xml:space="preserve">, who </w:t>
      </w:r>
      <w:r w:rsidR="008D6E7B">
        <w:rPr>
          <w:rFonts w:ascii="Times New Roman" w:hAnsi="Times New Roman" w:cs="Times New Roman"/>
          <w:sz w:val="24"/>
          <w:szCs w:val="24"/>
          <w:lang w:val="en-US"/>
        </w:rPr>
        <w:t>assumed</w:t>
      </w:r>
      <w:r w:rsidR="00466C62" w:rsidRPr="00F17126">
        <w:rPr>
          <w:rFonts w:ascii="Times New Roman" w:hAnsi="Times New Roman" w:cs="Times New Roman"/>
          <w:sz w:val="24"/>
          <w:szCs w:val="24"/>
          <w:lang w:val="en-US"/>
        </w:rPr>
        <w:t xml:space="preserve"> </w:t>
      </w:r>
      <w:r w:rsidR="007531E0" w:rsidRPr="00F17126">
        <w:rPr>
          <w:rFonts w:ascii="Times New Roman" w:hAnsi="Times New Roman" w:cs="Times New Roman"/>
          <w:sz w:val="24"/>
          <w:szCs w:val="24"/>
          <w:lang w:val="en-US"/>
        </w:rPr>
        <w:t>the leader</w:t>
      </w:r>
      <w:r w:rsidR="00466C62" w:rsidRPr="00F17126">
        <w:rPr>
          <w:rFonts w:ascii="Times New Roman" w:hAnsi="Times New Roman" w:cs="Times New Roman"/>
          <w:sz w:val="24"/>
          <w:szCs w:val="24"/>
          <w:lang w:val="en-US"/>
        </w:rPr>
        <w:t xml:space="preserve"> role </w:t>
      </w:r>
      <w:r w:rsidR="007531E0" w:rsidRPr="00F17126">
        <w:rPr>
          <w:rFonts w:ascii="Times New Roman" w:hAnsi="Times New Roman" w:cs="Times New Roman"/>
          <w:sz w:val="24"/>
          <w:szCs w:val="24"/>
          <w:lang w:val="en-US"/>
        </w:rPr>
        <w:t>after President Bush’s repudiation of Kyoto in 2001</w:t>
      </w:r>
      <w:r w:rsidR="00466C62" w:rsidRPr="00F17126">
        <w:rPr>
          <w:rFonts w:ascii="Times New Roman" w:hAnsi="Times New Roman" w:cs="Times New Roman"/>
          <w:sz w:val="24"/>
          <w:szCs w:val="24"/>
          <w:lang w:val="en-US"/>
        </w:rPr>
        <w:t xml:space="preserve">, </w:t>
      </w:r>
      <w:r w:rsidR="007F15DF" w:rsidRPr="00F17126">
        <w:rPr>
          <w:rFonts w:ascii="Times New Roman" w:hAnsi="Times New Roman" w:cs="Times New Roman"/>
          <w:sz w:val="24"/>
          <w:szCs w:val="24"/>
          <w:lang w:val="en-US"/>
        </w:rPr>
        <w:t xml:space="preserve">is </w:t>
      </w:r>
      <w:r w:rsidR="00466C62" w:rsidRPr="00F17126">
        <w:rPr>
          <w:rFonts w:ascii="Times New Roman" w:hAnsi="Times New Roman" w:cs="Times New Roman"/>
          <w:sz w:val="24"/>
          <w:szCs w:val="24"/>
          <w:lang w:val="en-US"/>
        </w:rPr>
        <w:t>currently struggling to “to keep its internal momentum on climate change going in line with long-term emissions reductions objectives for 2050 and beyond” (Clémençon</w:t>
      </w:r>
      <w:r w:rsidR="00131B35" w:rsidRPr="00F17126">
        <w:rPr>
          <w:rFonts w:ascii="Times New Roman" w:hAnsi="Times New Roman" w:cs="Times New Roman"/>
          <w:sz w:val="24"/>
          <w:szCs w:val="24"/>
          <w:lang w:val="en-US"/>
        </w:rPr>
        <w:t>,</w:t>
      </w:r>
      <w:r w:rsidR="00466C62" w:rsidRPr="00F17126">
        <w:rPr>
          <w:rFonts w:ascii="Times New Roman" w:hAnsi="Times New Roman" w:cs="Times New Roman"/>
          <w:sz w:val="24"/>
          <w:szCs w:val="24"/>
          <w:lang w:val="en-US"/>
        </w:rPr>
        <w:t xml:space="preserve"> 2016</w:t>
      </w:r>
      <w:r w:rsidR="008F7F61">
        <w:rPr>
          <w:rFonts w:ascii="Times New Roman" w:hAnsi="Times New Roman" w:cs="Times New Roman"/>
          <w:sz w:val="24"/>
          <w:szCs w:val="24"/>
          <w:lang w:val="en-US"/>
        </w:rPr>
        <w:t>, p.</w:t>
      </w:r>
      <w:r w:rsidR="00466C62" w:rsidRPr="00F17126">
        <w:rPr>
          <w:rFonts w:ascii="Times New Roman" w:hAnsi="Times New Roman" w:cs="Times New Roman"/>
          <w:sz w:val="24"/>
          <w:szCs w:val="24"/>
          <w:lang w:val="en-US"/>
        </w:rPr>
        <w:t xml:space="preserve"> 14).</w:t>
      </w:r>
      <w:r w:rsidR="00544D8A" w:rsidRPr="00544D8A">
        <w:rPr>
          <w:rStyle w:val="FootnoteReference"/>
          <w:rFonts w:ascii="Times New Roman" w:hAnsi="Times New Roman" w:cs="Times New Roman"/>
          <w:sz w:val="24"/>
          <w:szCs w:val="24"/>
          <w:lang w:val="en-US"/>
        </w:rPr>
        <w:t xml:space="preserve"> </w:t>
      </w:r>
      <w:r w:rsidR="00544D8A">
        <w:rPr>
          <w:rStyle w:val="FootnoteReference"/>
          <w:rFonts w:ascii="Times New Roman" w:hAnsi="Times New Roman" w:cs="Times New Roman"/>
          <w:sz w:val="24"/>
          <w:szCs w:val="24"/>
          <w:lang w:val="en-US"/>
        </w:rPr>
        <w:footnoteReference w:id="8"/>
      </w:r>
    </w:p>
    <w:p w14:paraId="384ADD6A" w14:textId="2AC8BED4" w:rsidR="00D02E8D" w:rsidRPr="00F17126" w:rsidRDefault="00D02E8D"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Finally, compliance levels will likely depend on technological progress (Bang et al</w:t>
      </w:r>
      <w:r w:rsidR="005C1D57">
        <w:rPr>
          <w:rFonts w:ascii="Times New Roman" w:hAnsi="Times New Roman" w:cs="Times New Roman"/>
          <w:sz w:val="24"/>
          <w:szCs w:val="24"/>
          <w:lang w:val="en-US"/>
        </w:rPr>
        <w:t>.</w:t>
      </w:r>
      <w:r w:rsidR="00131B3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t>
      </w:r>
      <w:r w:rsidR="00623434" w:rsidRPr="00F17126">
        <w:rPr>
          <w:rFonts w:ascii="Times New Roman" w:hAnsi="Times New Roman" w:cs="Times New Roman"/>
          <w:sz w:val="24"/>
          <w:szCs w:val="24"/>
          <w:lang w:val="en-US"/>
        </w:rPr>
        <w:t xml:space="preserve">It is therefore </w:t>
      </w:r>
      <w:r w:rsidR="001D635F">
        <w:rPr>
          <w:rFonts w:ascii="Times New Roman" w:hAnsi="Times New Roman" w:cs="Times New Roman"/>
          <w:sz w:val="24"/>
          <w:szCs w:val="24"/>
          <w:lang w:val="en-US"/>
        </w:rPr>
        <w:t>unsurprising</w:t>
      </w:r>
      <w:r w:rsidR="00623434" w:rsidRPr="00F17126">
        <w:rPr>
          <w:rFonts w:ascii="Times New Roman" w:hAnsi="Times New Roman" w:cs="Times New Roman"/>
          <w:sz w:val="24"/>
          <w:szCs w:val="24"/>
          <w:lang w:val="en-US"/>
        </w:rPr>
        <w:t xml:space="preserve"> that the </w:t>
      </w:r>
      <w:r w:rsidR="00820E85" w:rsidRPr="00F17126">
        <w:rPr>
          <w:rFonts w:ascii="Times New Roman" w:hAnsi="Times New Roman" w:cs="Times New Roman"/>
          <w:sz w:val="24"/>
          <w:szCs w:val="24"/>
          <w:lang w:val="en-US"/>
        </w:rPr>
        <w:t>PA</w:t>
      </w:r>
      <w:r w:rsidR="00623434" w:rsidRPr="00F17126">
        <w:rPr>
          <w:rFonts w:ascii="Times New Roman" w:hAnsi="Times New Roman" w:cs="Times New Roman"/>
          <w:sz w:val="24"/>
          <w:szCs w:val="24"/>
          <w:lang w:val="en-US"/>
        </w:rPr>
        <w:t xml:space="preserve"> </w:t>
      </w:r>
      <w:r w:rsidR="001D635F">
        <w:rPr>
          <w:rFonts w:ascii="Times New Roman" w:hAnsi="Times New Roman" w:cs="Times New Roman"/>
          <w:sz w:val="24"/>
          <w:szCs w:val="24"/>
          <w:lang w:val="en-US"/>
        </w:rPr>
        <w:t>greatly emphasizes</w:t>
      </w:r>
      <w:r w:rsidR="00623434" w:rsidRPr="00F17126">
        <w:rPr>
          <w:rFonts w:ascii="Times New Roman" w:hAnsi="Times New Roman" w:cs="Times New Roman"/>
          <w:sz w:val="24"/>
          <w:szCs w:val="24"/>
          <w:lang w:val="en-US"/>
        </w:rPr>
        <w:t xml:space="preserve"> technology development and </w:t>
      </w:r>
      <w:r w:rsidR="0021469A" w:rsidRPr="00F17126">
        <w:rPr>
          <w:rFonts w:ascii="Times New Roman" w:hAnsi="Times New Roman" w:cs="Times New Roman"/>
          <w:sz w:val="24"/>
          <w:szCs w:val="24"/>
          <w:lang w:val="en-US"/>
        </w:rPr>
        <w:t xml:space="preserve">technology </w:t>
      </w:r>
      <w:r w:rsidR="00623434" w:rsidRPr="00F17126">
        <w:rPr>
          <w:rFonts w:ascii="Times New Roman" w:hAnsi="Times New Roman" w:cs="Times New Roman"/>
          <w:sz w:val="24"/>
          <w:szCs w:val="24"/>
          <w:lang w:val="en-US"/>
        </w:rPr>
        <w:t>transfer (Rajamani</w:t>
      </w:r>
      <w:r w:rsidR="00131B35" w:rsidRPr="00F17126">
        <w:rPr>
          <w:rFonts w:ascii="Times New Roman" w:hAnsi="Times New Roman" w:cs="Times New Roman"/>
          <w:sz w:val="24"/>
          <w:szCs w:val="24"/>
          <w:lang w:val="en-US"/>
        </w:rPr>
        <w:t>,</w:t>
      </w:r>
      <w:r w:rsidR="00623434" w:rsidRPr="00F17126">
        <w:rPr>
          <w:rFonts w:ascii="Times New Roman" w:hAnsi="Times New Roman" w:cs="Times New Roman"/>
          <w:sz w:val="24"/>
          <w:szCs w:val="24"/>
          <w:lang w:val="en-US"/>
        </w:rPr>
        <w:t xml:space="preserve"> 2016). </w:t>
      </w:r>
      <w:r w:rsidR="00F35789" w:rsidRPr="00F17126">
        <w:rPr>
          <w:rFonts w:ascii="Times New Roman" w:hAnsi="Times New Roman" w:cs="Times New Roman"/>
          <w:sz w:val="24"/>
          <w:szCs w:val="24"/>
          <w:lang w:val="en-US"/>
        </w:rPr>
        <w:t>T</w:t>
      </w:r>
      <w:r w:rsidR="00623434" w:rsidRPr="00F17126">
        <w:rPr>
          <w:rFonts w:ascii="Times New Roman" w:hAnsi="Times New Roman" w:cs="Times New Roman"/>
          <w:sz w:val="24"/>
          <w:szCs w:val="24"/>
          <w:lang w:val="en-US"/>
        </w:rPr>
        <w:t>echnological</w:t>
      </w:r>
      <w:r w:rsidRPr="00F17126">
        <w:rPr>
          <w:rFonts w:ascii="Times New Roman" w:hAnsi="Times New Roman" w:cs="Times New Roman"/>
          <w:sz w:val="24"/>
          <w:szCs w:val="24"/>
          <w:lang w:val="en-US"/>
        </w:rPr>
        <w:t xml:space="preserve"> progress </w:t>
      </w:r>
      <w:r w:rsidR="00F35789" w:rsidRPr="00F17126">
        <w:rPr>
          <w:rFonts w:ascii="Times New Roman" w:hAnsi="Times New Roman" w:cs="Times New Roman"/>
          <w:sz w:val="24"/>
          <w:szCs w:val="24"/>
          <w:lang w:val="en-US"/>
        </w:rPr>
        <w:t>beyond</w:t>
      </w:r>
      <w:r w:rsidRPr="00F17126">
        <w:rPr>
          <w:rFonts w:ascii="Times New Roman" w:hAnsi="Times New Roman" w:cs="Times New Roman"/>
          <w:sz w:val="24"/>
          <w:szCs w:val="24"/>
          <w:lang w:val="en-US"/>
        </w:rPr>
        <w:t xml:space="preserve"> governments’ expectations </w:t>
      </w:r>
      <w:r w:rsidR="00F35789" w:rsidRPr="00F17126">
        <w:rPr>
          <w:rFonts w:ascii="Times New Roman" w:hAnsi="Times New Roman" w:cs="Times New Roman"/>
          <w:sz w:val="24"/>
          <w:szCs w:val="24"/>
          <w:lang w:val="en-US"/>
        </w:rPr>
        <w:t xml:space="preserve">would facilitate high </w:t>
      </w:r>
      <w:r w:rsidRPr="00F17126">
        <w:rPr>
          <w:rFonts w:ascii="Times New Roman" w:hAnsi="Times New Roman" w:cs="Times New Roman"/>
          <w:sz w:val="24"/>
          <w:szCs w:val="24"/>
          <w:lang w:val="en-US"/>
        </w:rPr>
        <w:t xml:space="preserve">compliance levels. </w:t>
      </w:r>
      <w:r w:rsidR="00F35789" w:rsidRPr="00F17126">
        <w:rPr>
          <w:rFonts w:ascii="Times New Roman" w:hAnsi="Times New Roman" w:cs="Times New Roman"/>
          <w:sz w:val="24"/>
          <w:szCs w:val="24"/>
          <w:lang w:val="en-US"/>
        </w:rPr>
        <w:t>In contrast</w:t>
      </w:r>
      <w:r w:rsidRPr="00F17126">
        <w:rPr>
          <w:rFonts w:ascii="Times New Roman" w:hAnsi="Times New Roman" w:cs="Times New Roman"/>
          <w:sz w:val="24"/>
          <w:szCs w:val="24"/>
          <w:lang w:val="en-US"/>
        </w:rPr>
        <w:t xml:space="preserve">, technological progress </w:t>
      </w:r>
      <w:r w:rsidR="00F35789" w:rsidRPr="00F17126">
        <w:rPr>
          <w:rFonts w:ascii="Times New Roman" w:hAnsi="Times New Roman" w:cs="Times New Roman"/>
          <w:sz w:val="24"/>
          <w:szCs w:val="24"/>
          <w:lang w:val="en-US"/>
        </w:rPr>
        <w:t>below</w:t>
      </w:r>
      <w:r w:rsidR="00623434" w:rsidRPr="00F17126">
        <w:rPr>
          <w:rFonts w:ascii="Times New Roman" w:hAnsi="Times New Roman" w:cs="Times New Roman"/>
          <w:sz w:val="24"/>
          <w:szCs w:val="24"/>
          <w:lang w:val="en-US"/>
        </w:rPr>
        <w:t xml:space="preserve"> expectations</w:t>
      </w:r>
      <w:r w:rsidR="00F35789" w:rsidRPr="00F17126">
        <w:rPr>
          <w:rFonts w:ascii="Times New Roman" w:hAnsi="Times New Roman" w:cs="Times New Roman"/>
          <w:sz w:val="24"/>
          <w:szCs w:val="24"/>
          <w:lang w:val="en-US"/>
        </w:rPr>
        <w:t xml:space="preserve"> would make</w:t>
      </w:r>
      <w:r w:rsidR="00623434" w:rsidRPr="00F17126">
        <w:rPr>
          <w:rFonts w:ascii="Times New Roman" w:hAnsi="Times New Roman" w:cs="Times New Roman"/>
          <w:sz w:val="24"/>
          <w:szCs w:val="24"/>
          <w:lang w:val="en-US"/>
        </w:rPr>
        <w:t xml:space="preserve"> </w:t>
      </w:r>
      <w:r w:rsidR="001D635F">
        <w:rPr>
          <w:rFonts w:ascii="Times New Roman" w:hAnsi="Times New Roman" w:cs="Times New Roman"/>
          <w:sz w:val="24"/>
          <w:szCs w:val="24"/>
          <w:lang w:val="en-US"/>
        </w:rPr>
        <w:t>fulfilling</w:t>
      </w:r>
      <w:r w:rsidR="006F5690" w:rsidRPr="00F17126">
        <w:rPr>
          <w:rFonts w:ascii="Times New Roman" w:hAnsi="Times New Roman" w:cs="Times New Roman"/>
          <w:sz w:val="24"/>
          <w:szCs w:val="24"/>
          <w:lang w:val="en-US"/>
        </w:rPr>
        <w:t xml:space="preserve"> NDCs</w:t>
      </w:r>
      <w:r w:rsidRPr="00F17126">
        <w:rPr>
          <w:rFonts w:ascii="Times New Roman" w:hAnsi="Times New Roman" w:cs="Times New Roman"/>
          <w:sz w:val="24"/>
          <w:szCs w:val="24"/>
          <w:lang w:val="en-US"/>
        </w:rPr>
        <w:t xml:space="preserve"> </w:t>
      </w:r>
      <w:r w:rsidR="001D635F" w:rsidRPr="00F17126">
        <w:rPr>
          <w:rFonts w:ascii="Times New Roman" w:hAnsi="Times New Roman" w:cs="Times New Roman"/>
          <w:sz w:val="24"/>
          <w:szCs w:val="24"/>
          <w:lang w:val="en-US"/>
        </w:rPr>
        <w:t>costlier</w:t>
      </w:r>
      <w:r w:rsidRPr="00F17126">
        <w:rPr>
          <w:rFonts w:ascii="Times New Roman" w:hAnsi="Times New Roman" w:cs="Times New Roman"/>
          <w:sz w:val="24"/>
          <w:szCs w:val="24"/>
          <w:lang w:val="en-US"/>
        </w:rPr>
        <w:t xml:space="preserve"> than anticipated</w:t>
      </w:r>
      <w:r w:rsidR="00F35789" w:rsidRPr="00F17126">
        <w:rPr>
          <w:rFonts w:ascii="Times New Roman" w:hAnsi="Times New Roman" w:cs="Times New Roman"/>
          <w:sz w:val="24"/>
          <w:szCs w:val="24"/>
          <w:lang w:val="en-US"/>
        </w:rPr>
        <w:t xml:space="preserve"> and might therefore undermine compliance (at least in some countries).</w:t>
      </w:r>
    </w:p>
    <w:p w14:paraId="2B1CF65D" w14:textId="3233C5CA" w:rsidR="007531E0" w:rsidRDefault="007531E0" w:rsidP="009C477E">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In sum, the literature seems to suggest that the likelihood of achieving high compliance with the </w:t>
      </w:r>
      <w:r w:rsidR="00820E85" w:rsidRPr="00F17126">
        <w:rPr>
          <w:rFonts w:ascii="Times New Roman" w:hAnsi="Times New Roman" w:cs="Times New Roman"/>
          <w:sz w:val="24"/>
          <w:szCs w:val="24"/>
          <w:lang w:val="en-US"/>
        </w:rPr>
        <w:t>PA</w:t>
      </w:r>
      <w:r w:rsidRPr="00F17126">
        <w:rPr>
          <w:rFonts w:ascii="Times New Roman" w:hAnsi="Times New Roman" w:cs="Times New Roman"/>
          <w:sz w:val="24"/>
          <w:szCs w:val="24"/>
          <w:lang w:val="en-US"/>
        </w:rPr>
        <w:t xml:space="preserve"> </w:t>
      </w:r>
      <w:r w:rsidR="001D635F">
        <w:rPr>
          <w:rFonts w:ascii="Times New Roman" w:hAnsi="Times New Roman" w:cs="Times New Roman"/>
          <w:sz w:val="24"/>
          <w:szCs w:val="24"/>
          <w:lang w:val="en-US"/>
        </w:rPr>
        <w:t xml:space="preserve">currently </w:t>
      </w:r>
      <w:r w:rsidRPr="00F17126">
        <w:rPr>
          <w:rFonts w:ascii="Times New Roman" w:hAnsi="Times New Roman" w:cs="Times New Roman"/>
          <w:sz w:val="24"/>
          <w:szCs w:val="24"/>
          <w:lang w:val="en-US"/>
        </w:rPr>
        <w:t>remain</w:t>
      </w:r>
      <w:r w:rsidR="00D02E8D" w:rsidRPr="00F17126">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uncertain. In particular, high compliance will likely require </w:t>
      </w:r>
      <w:r w:rsidR="00257D24" w:rsidRPr="00F17126">
        <w:rPr>
          <w:rFonts w:ascii="Times New Roman" w:hAnsi="Times New Roman" w:cs="Times New Roman"/>
          <w:sz w:val="24"/>
          <w:szCs w:val="24"/>
          <w:lang w:val="en-US"/>
        </w:rPr>
        <w:t>a high degree of</w:t>
      </w:r>
      <w:r w:rsidRPr="00F17126">
        <w:rPr>
          <w:rFonts w:ascii="Times New Roman" w:hAnsi="Times New Roman" w:cs="Times New Roman"/>
          <w:sz w:val="24"/>
          <w:szCs w:val="24"/>
          <w:lang w:val="en-US"/>
        </w:rPr>
        <w:t xml:space="preserve"> transparency </w:t>
      </w:r>
      <w:r w:rsidR="00257D24" w:rsidRPr="00F17126">
        <w:rPr>
          <w:rFonts w:ascii="Times New Roman" w:hAnsi="Times New Roman" w:cs="Times New Roman"/>
          <w:sz w:val="24"/>
          <w:szCs w:val="24"/>
          <w:lang w:val="en-US"/>
        </w:rPr>
        <w:t xml:space="preserve">and comparability. It will also likely require </w:t>
      </w:r>
      <w:r w:rsidRPr="00F17126">
        <w:rPr>
          <w:rFonts w:ascii="Times New Roman" w:hAnsi="Times New Roman" w:cs="Times New Roman"/>
          <w:sz w:val="24"/>
          <w:szCs w:val="24"/>
          <w:lang w:val="en-US"/>
        </w:rPr>
        <w:t>strong leadership</w:t>
      </w:r>
      <w:r w:rsidR="00623434" w:rsidRPr="00F17126">
        <w:rPr>
          <w:rFonts w:ascii="Times New Roman" w:hAnsi="Times New Roman" w:cs="Times New Roman"/>
          <w:sz w:val="24"/>
          <w:szCs w:val="24"/>
          <w:lang w:val="en-US"/>
        </w:rPr>
        <w:t xml:space="preserve"> and fast technological progress</w:t>
      </w:r>
      <w:r w:rsidRPr="00F17126">
        <w:rPr>
          <w:rFonts w:ascii="Times New Roman" w:hAnsi="Times New Roman" w:cs="Times New Roman"/>
          <w:sz w:val="24"/>
          <w:szCs w:val="24"/>
          <w:lang w:val="en-US"/>
        </w:rPr>
        <w:t xml:space="preserve">, particularly </w:t>
      </w:r>
      <w:r w:rsidR="00623434" w:rsidRPr="00F17126">
        <w:rPr>
          <w:rFonts w:ascii="Times New Roman" w:hAnsi="Times New Roman" w:cs="Times New Roman"/>
          <w:sz w:val="24"/>
          <w:szCs w:val="24"/>
          <w:lang w:val="en-US"/>
        </w:rPr>
        <w:t>if</w:t>
      </w:r>
      <w:r w:rsidRPr="00F17126">
        <w:rPr>
          <w:rFonts w:ascii="Times New Roman" w:hAnsi="Times New Roman" w:cs="Times New Roman"/>
          <w:sz w:val="24"/>
          <w:szCs w:val="24"/>
          <w:lang w:val="en-US"/>
        </w:rPr>
        <w:t xml:space="preserve"> </w:t>
      </w:r>
      <w:r w:rsidR="004C5678" w:rsidRPr="00F17126">
        <w:rPr>
          <w:rFonts w:ascii="Times New Roman" w:hAnsi="Times New Roman" w:cs="Times New Roman"/>
          <w:sz w:val="24"/>
          <w:szCs w:val="24"/>
          <w:lang w:val="en-US"/>
        </w:rPr>
        <w:t xml:space="preserve">countries </w:t>
      </w:r>
      <w:r w:rsidR="00623434" w:rsidRPr="00F17126">
        <w:rPr>
          <w:rFonts w:ascii="Times New Roman" w:hAnsi="Times New Roman" w:cs="Times New Roman"/>
          <w:sz w:val="24"/>
          <w:szCs w:val="24"/>
          <w:lang w:val="en-US"/>
        </w:rPr>
        <w:t xml:space="preserve">– in keeping with the </w:t>
      </w:r>
      <w:r w:rsidR="00820E85" w:rsidRPr="00F17126">
        <w:rPr>
          <w:rFonts w:ascii="Times New Roman" w:hAnsi="Times New Roman" w:cs="Times New Roman"/>
          <w:sz w:val="24"/>
          <w:szCs w:val="24"/>
          <w:lang w:val="en-US"/>
        </w:rPr>
        <w:t>PA</w:t>
      </w:r>
      <w:r w:rsidR="00623434" w:rsidRPr="00F17126">
        <w:rPr>
          <w:rFonts w:ascii="Times New Roman" w:hAnsi="Times New Roman" w:cs="Times New Roman"/>
          <w:sz w:val="24"/>
          <w:szCs w:val="24"/>
          <w:lang w:val="en-US"/>
        </w:rPr>
        <w:t xml:space="preserve"> – </w:t>
      </w:r>
      <w:r w:rsidR="00F64034" w:rsidRPr="00F17126">
        <w:rPr>
          <w:rFonts w:ascii="Times New Roman" w:hAnsi="Times New Roman" w:cs="Times New Roman"/>
          <w:sz w:val="24"/>
          <w:szCs w:val="24"/>
          <w:lang w:val="en-US"/>
        </w:rPr>
        <w:t xml:space="preserve">significantly </w:t>
      </w:r>
      <w:r w:rsidR="004C5678" w:rsidRPr="00F17126">
        <w:rPr>
          <w:rFonts w:ascii="Times New Roman" w:hAnsi="Times New Roman" w:cs="Times New Roman"/>
          <w:sz w:val="24"/>
          <w:szCs w:val="24"/>
          <w:lang w:val="en-US"/>
        </w:rPr>
        <w:t>ratchet up their NDC</w:t>
      </w:r>
      <w:r w:rsidR="0021469A" w:rsidRPr="00F17126">
        <w:rPr>
          <w:rFonts w:ascii="Times New Roman" w:hAnsi="Times New Roman" w:cs="Times New Roman"/>
          <w:sz w:val="24"/>
          <w:szCs w:val="24"/>
          <w:lang w:val="en-US"/>
        </w:rPr>
        <w:t xml:space="preserve"> ambition</w:t>
      </w:r>
      <w:r w:rsidR="004C5678" w:rsidRPr="00F17126">
        <w:rPr>
          <w:rFonts w:ascii="Times New Roman" w:hAnsi="Times New Roman" w:cs="Times New Roman"/>
          <w:sz w:val="24"/>
          <w:szCs w:val="24"/>
          <w:lang w:val="en-US"/>
        </w:rPr>
        <w:t xml:space="preserve">s </w:t>
      </w:r>
      <w:r w:rsidR="00623434" w:rsidRPr="00F17126">
        <w:rPr>
          <w:rFonts w:ascii="Times New Roman" w:hAnsi="Times New Roman" w:cs="Times New Roman"/>
          <w:sz w:val="24"/>
          <w:szCs w:val="24"/>
          <w:lang w:val="en-US"/>
        </w:rPr>
        <w:t xml:space="preserve">in the </w:t>
      </w:r>
      <w:r w:rsidR="001D635F">
        <w:rPr>
          <w:rFonts w:ascii="Times New Roman" w:hAnsi="Times New Roman" w:cs="Times New Roman"/>
          <w:sz w:val="24"/>
          <w:szCs w:val="24"/>
          <w:lang w:val="en-US"/>
        </w:rPr>
        <w:t>future</w:t>
      </w:r>
      <w:r w:rsidRPr="00F17126">
        <w:rPr>
          <w:rFonts w:ascii="Times New Roman" w:hAnsi="Times New Roman" w:cs="Times New Roman"/>
          <w:sz w:val="24"/>
          <w:szCs w:val="24"/>
          <w:lang w:val="en-US"/>
        </w:rPr>
        <w:t>.</w:t>
      </w:r>
    </w:p>
    <w:p w14:paraId="073793AE" w14:textId="77777777" w:rsidR="00544D8A" w:rsidRPr="00F17126" w:rsidRDefault="00544D8A" w:rsidP="009C477E">
      <w:pPr>
        <w:spacing w:after="120" w:line="360" w:lineRule="auto"/>
        <w:rPr>
          <w:rFonts w:ascii="Times New Roman" w:hAnsi="Times New Roman" w:cs="Times New Roman"/>
          <w:sz w:val="24"/>
          <w:szCs w:val="24"/>
          <w:lang w:val="en-US"/>
        </w:rPr>
      </w:pPr>
    </w:p>
    <w:p w14:paraId="2FF4BA9F" w14:textId="6FCABC90" w:rsidR="00590D22" w:rsidRPr="00F17126" w:rsidRDefault="00590D22" w:rsidP="00590D22">
      <w:pPr>
        <w:spacing w:after="120"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t xml:space="preserve">7. </w:t>
      </w:r>
      <w:r w:rsidR="00BA3C83" w:rsidRPr="00F17126">
        <w:rPr>
          <w:rFonts w:ascii="Times New Roman" w:hAnsi="Times New Roman" w:cs="Times New Roman"/>
          <w:b/>
          <w:sz w:val="24"/>
          <w:szCs w:val="24"/>
          <w:lang w:val="en-US"/>
        </w:rPr>
        <w:t>Insid</w:t>
      </w:r>
      <w:r w:rsidR="00E06D6A" w:rsidRPr="00F17126">
        <w:rPr>
          <w:rFonts w:ascii="Times New Roman" w:hAnsi="Times New Roman" w:cs="Times New Roman"/>
          <w:b/>
          <w:sz w:val="24"/>
          <w:szCs w:val="24"/>
          <w:lang w:val="en-US"/>
        </w:rPr>
        <w:t>ers’ Views</w:t>
      </w:r>
    </w:p>
    <w:p w14:paraId="5AA835C9" w14:textId="11B39702" w:rsidR="00590D22" w:rsidRPr="00F17126" w:rsidRDefault="00703ECE" w:rsidP="00590D22">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Following</w:t>
      </w:r>
      <w:r w:rsidR="00590D22" w:rsidRPr="00F17126">
        <w:rPr>
          <w:rFonts w:ascii="Times New Roman" w:hAnsi="Times New Roman" w:cs="Times New Roman"/>
          <w:sz w:val="24"/>
          <w:szCs w:val="24"/>
          <w:lang w:val="en-US"/>
        </w:rPr>
        <w:t xml:space="preserve"> the Paris conference, several practitioner-scholars who participated in negotiations published analyses</w:t>
      </w:r>
      <w:r>
        <w:rPr>
          <w:rFonts w:ascii="Times New Roman" w:hAnsi="Times New Roman" w:cs="Times New Roman"/>
          <w:sz w:val="24"/>
          <w:szCs w:val="24"/>
          <w:lang w:val="en-US"/>
        </w:rPr>
        <w:t xml:space="preserve"> of</w:t>
      </w:r>
      <w:r w:rsidR="00590D22" w:rsidRPr="00F17126">
        <w:rPr>
          <w:rFonts w:ascii="Times New Roman" w:hAnsi="Times New Roman" w:cs="Times New Roman"/>
          <w:sz w:val="24"/>
          <w:szCs w:val="24"/>
          <w:lang w:val="en-US"/>
        </w:rPr>
        <w:t xml:space="preserve"> and commentaries </w:t>
      </w:r>
      <w:r>
        <w:rPr>
          <w:rFonts w:ascii="Times New Roman" w:hAnsi="Times New Roman" w:cs="Times New Roman"/>
          <w:sz w:val="24"/>
          <w:szCs w:val="24"/>
          <w:lang w:val="en-US"/>
        </w:rPr>
        <w:t>about</w:t>
      </w:r>
      <w:r w:rsidRPr="00F17126">
        <w:rPr>
          <w:rFonts w:ascii="Times New Roman" w:hAnsi="Times New Roman" w:cs="Times New Roman"/>
          <w:sz w:val="24"/>
          <w:szCs w:val="24"/>
          <w:lang w:val="en-US"/>
        </w:rPr>
        <w:t xml:space="preserve"> </w:t>
      </w:r>
      <w:r w:rsidR="00590D22" w:rsidRPr="00F17126">
        <w:rPr>
          <w:rFonts w:ascii="Times New Roman" w:hAnsi="Times New Roman" w:cs="Times New Roman"/>
          <w:sz w:val="24"/>
          <w:szCs w:val="24"/>
          <w:lang w:val="en-US"/>
        </w:rPr>
        <w:t xml:space="preserve">the </w:t>
      </w:r>
      <w:r w:rsidR="00820E85" w:rsidRPr="00F17126">
        <w:rPr>
          <w:rFonts w:ascii="Times New Roman" w:hAnsi="Times New Roman" w:cs="Times New Roman"/>
          <w:sz w:val="24"/>
          <w:szCs w:val="24"/>
          <w:lang w:val="en-US"/>
        </w:rPr>
        <w:t>PA</w:t>
      </w:r>
      <w:r w:rsidR="00590D22" w:rsidRPr="00F17126">
        <w:rPr>
          <w:rFonts w:ascii="Times New Roman" w:hAnsi="Times New Roman" w:cs="Times New Roman"/>
          <w:sz w:val="24"/>
          <w:szCs w:val="24"/>
          <w:lang w:val="en-US"/>
        </w:rPr>
        <w:t xml:space="preserve">. Their perspectives are instructive in assessing </w:t>
      </w:r>
      <w:r w:rsidR="00E06D6A" w:rsidRPr="00F17126">
        <w:rPr>
          <w:rFonts w:ascii="Times New Roman" w:hAnsi="Times New Roman" w:cs="Times New Roman"/>
          <w:sz w:val="24"/>
          <w:szCs w:val="24"/>
          <w:lang w:val="en-US"/>
        </w:rPr>
        <w:t>its</w:t>
      </w:r>
      <w:r w:rsidR="00590D22" w:rsidRPr="00F17126">
        <w:rPr>
          <w:rFonts w:ascii="Times New Roman" w:hAnsi="Times New Roman" w:cs="Times New Roman"/>
          <w:sz w:val="24"/>
          <w:szCs w:val="24"/>
          <w:lang w:val="en-US"/>
        </w:rPr>
        <w:t xml:space="preserve"> significance. Several common themes emerge </w:t>
      </w:r>
      <w:r>
        <w:rPr>
          <w:rFonts w:ascii="Times New Roman" w:hAnsi="Times New Roman" w:cs="Times New Roman"/>
          <w:sz w:val="24"/>
          <w:szCs w:val="24"/>
          <w:lang w:val="en-US"/>
        </w:rPr>
        <w:t>from</w:t>
      </w:r>
      <w:r w:rsidR="00590D22" w:rsidRPr="00F17126">
        <w:rPr>
          <w:rFonts w:ascii="Times New Roman" w:hAnsi="Times New Roman" w:cs="Times New Roman"/>
          <w:sz w:val="24"/>
          <w:szCs w:val="24"/>
          <w:lang w:val="en-US"/>
        </w:rPr>
        <w:t xml:space="preserve"> these insider analyses. </w:t>
      </w:r>
    </w:p>
    <w:p w14:paraId="02243990" w14:textId="474CCD25" w:rsidR="00590D22" w:rsidRPr="00F17126" w:rsidRDefault="00590D22"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First, the PA constitutes a political success and a major historic breakthrough in the history of global climate negotiations (Bodansky</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Brun</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Dimitrov</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Doelle</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Rajamani</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t>
      </w:r>
      <w:r w:rsidR="007C7E85">
        <w:rPr>
          <w:rFonts w:ascii="Times New Roman" w:hAnsi="Times New Roman" w:cs="Times New Roman"/>
          <w:sz w:val="24"/>
          <w:szCs w:val="24"/>
          <w:lang w:val="en-US"/>
        </w:rPr>
        <w:t>Insiders</w:t>
      </w:r>
      <w:r w:rsidRPr="00F17126">
        <w:rPr>
          <w:rFonts w:ascii="Times New Roman" w:hAnsi="Times New Roman" w:cs="Times New Roman"/>
          <w:sz w:val="24"/>
          <w:szCs w:val="24"/>
          <w:lang w:val="en-US"/>
        </w:rPr>
        <w:t xml:space="preserve"> describe the </w:t>
      </w:r>
      <w:r w:rsidR="00E74045" w:rsidRPr="00F17126">
        <w:rPr>
          <w:rFonts w:ascii="Times New Roman" w:hAnsi="Times New Roman" w:cs="Times New Roman"/>
          <w:sz w:val="24"/>
          <w:szCs w:val="24"/>
          <w:lang w:val="en-US"/>
        </w:rPr>
        <w:t>PA</w:t>
      </w:r>
      <w:r w:rsidRPr="00F17126">
        <w:rPr>
          <w:rFonts w:ascii="Times New Roman" w:hAnsi="Times New Roman" w:cs="Times New Roman"/>
          <w:sz w:val="24"/>
          <w:szCs w:val="24"/>
          <w:lang w:val="en-US"/>
        </w:rPr>
        <w:t xml:space="preserve"> as “a culmination of decades of climate </w:t>
      </w:r>
      <w:r w:rsidRPr="00F17126">
        <w:rPr>
          <w:rFonts w:ascii="Times New Roman" w:hAnsi="Times New Roman" w:cs="Times New Roman"/>
          <w:sz w:val="24"/>
          <w:szCs w:val="24"/>
          <w:lang w:val="en-US"/>
        </w:rPr>
        <w:lastRenderedPageBreak/>
        <w:t>diplomacy” (Brun</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w:t>
      </w:r>
      <w:r w:rsidRPr="00F17126">
        <w:rPr>
          <w:rFonts w:ascii="Times New Roman" w:hAnsi="Times New Roman" w:cs="Times New Roman"/>
          <w:sz w:val="24"/>
          <w:szCs w:val="24"/>
          <w:lang w:val="en-US"/>
        </w:rPr>
        <w:t xml:space="preserve"> 121), “a historic achievement in multilateral diplomacy” that is the “most ambitious outcome possible in a deeply discordant political context” (Rajamani</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pp.</w:t>
      </w:r>
      <w:r w:rsidRPr="00F17126">
        <w:rPr>
          <w:rFonts w:ascii="Times New Roman" w:hAnsi="Times New Roman" w:cs="Times New Roman"/>
          <w:sz w:val="24"/>
          <w:szCs w:val="24"/>
          <w:lang w:val="en-US"/>
        </w:rPr>
        <w:t xml:space="preserve"> 493</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94). In contrast to past climate negotiations, countries demonstrated reciprocal willingness to compromise, and the PA is balanced </w:t>
      </w:r>
      <w:r w:rsidR="00E74045" w:rsidRPr="00F17126">
        <w:rPr>
          <w:rFonts w:ascii="Times New Roman" w:hAnsi="Times New Roman" w:cs="Times New Roman"/>
          <w:sz w:val="24"/>
          <w:szCs w:val="24"/>
          <w:lang w:val="en-US"/>
        </w:rPr>
        <w:t>in that</w:t>
      </w:r>
      <w:r w:rsidRPr="00F17126">
        <w:rPr>
          <w:rFonts w:ascii="Times New Roman" w:hAnsi="Times New Roman" w:cs="Times New Roman"/>
          <w:sz w:val="24"/>
          <w:szCs w:val="24"/>
          <w:lang w:val="en-US"/>
        </w:rPr>
        <w:t xml:space="preserve"> most players made sacrifices and gained something in return (Dimitrov</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Kinley</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 A veteran negotiator</w:t>
      </w:r>
      <w:r w:rsidR="00703ECE">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known for his vocal advocacy for the strongest possible treaty</w:t>
      </w:r>
      <w:r w:rsidR="00703ECE">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recognized overall progress and wrote that island states generally welcomed the PA “as a good outcome albeit not a great one” (Fry</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w:t>
      </w:r>
      <w:r w:rsidRPr="00F17126">
        <w:rPr>
          <w:rFonts w:ascii="Times New Roman" w:hAnsi="Times New Roman" w:cs="Times New Roman"/>
          <w:sz w:val="24"/>
          <w:szCs w:val="24"/>
          <w:lang w:val="en-US"/>
        </w:rPr>
        <w:t xml:space="preserve"> 105). Even </w:t>
      </w:r>
      <w:r w:rsidR="005C1D57" w:rsidRPr="00F17126">
        <w:rPr>
          <w:rFonts w:ascii="Times New Roman" w:hAnsi="Times New Roman" w:cs="Times New Roman"/>
          <w:sz w:val="24"/>
          <w:szCs w:val="24"/>
          <w:lang w:val="en-US"/>
        </w:rPr>
        <w:t>skeptical</w:t>
      </w:r>
      <w:r w:rsidRPr="00F17126">
        <w:rPr>
          <w:rFonts w:ascii="Times New Roman" w:hAnsi="Times New Roman" w:cs="Times New Roman"/>
          <w:sz w:val="24"/>
          <w:szCs w:val="24"/>
          <w:lang w:val="en-US"/>
        </w:rPr>
        <w:t xml:space="preserve"> commentators generally disappointed by the PA regard it as the best possible outcome</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given political disagreements (Clémençon</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Insiders also stress groundbreaking, innovative features of the PA, including the move away from strict differentiation between developed and developing countries (Rajamani </w:t>
      </w:r>
      <w:r w:rsidR="004440E2" w:rsidRPr="00F17126">
        <w:rPr>
          <w:rFonts w:ascii="Times New Roman" w:hAnsi="Times New Roman" w:cs="Times New Roman"/>
          <w:sz w:val="24"/>
          <w:szCs w:val="24"/>
          <w:lang w:val="en-US"/>
        </w:rPr>
        <w:t>&amp;</w:t>
      </w:r>
      <w:r w:rsidRPr="00F17126">
        <w:rPr>
          <w:rFonts w:ascii="Times New Roman" w:hAnsi="Times New Roman" w:cs="Times New Roman"/>
          <w:sz w:val="24"/>
          <w:szCs w:val="24"/>
          <w:lang w:val="en-US"/>
        </w:rPr>
        <w:t xml:space="preserve"> Guerin</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w:t>
      </w:r>
    </w:p>
    <w:p w14:paraId="42C0FF1C" w14:textId="2B4F8AC0" w:rsidR="00590D22" w:rsidRPr="00F17126" w:rsidRDefault="00590D22"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Second, the PA is a treaty under international law (Bodansky</w:t>
      </w:r>
      <w:r w:rsidR="00E74045" w:rsidRPr="00F17126">
        <w:rPr>
          <w:rFonts w:ascii="Times New Roman" w:hAnsi="Times New Roman" w:cs="Times New Roman"/>
          <w:sz w:val="24"/>
          <w:szCs w:val="24"/>
          <w:lang w:val="en-US"/>
        </w:rPr>
        <w:t xml:space="preserve">, 2016; Bodle </w:t>
      </w:r>
      <w:r w:rsidR="004440E2" w:rsidRPr="00F17126">
        <w:rPr>
          <w:rFonts w:ascii="Times New Roman" w:hAnsi="Times New Roman" w:cs="Times New Roman"/>
          <w:sz w:val="24"/>
          <w:szCs w:val="24"/>
          <w:lang w:val="en-US"/>
        </w:rPr>
        <w:t>&amp;</w:t>
      </w:r>
      <w:r w:rsidR="00E74045" w:rsidRPr="00F17126">
        <w:rPr>
          <w:rFonts w:ascii="Times New Roman" w:hAnsi="Times New Roman" w:cs="Times New Roman"/>
          <w:sz w:val="24"/>
          <w:szCs w:val="24"/>
          <w:lang w:val="en-US"/>
        </w:rPr>
        <w:t xml:space="preserve"> Oberthür, </w:t>
      </w:r>
      <w:r w:rsidRPr="00F17126">
        <w:rPr>
          <w:rFonts w:ascii="Times New Roman" w:hAnsi="Times New Roman" w:cs="Times New Roman"/>
          <w:sz w:val="24"/>
          <w:szCs w:val="24"/>
          <w:lang w:val="en-US"/>
        </w:rPr>
        <w:t xml:space="preserve">2017). International lawyers on the inside </w:t>
      </w:r>
      <w:r w:rsidR="00E74045" w:rsidRPr="00F17126">
        <w:rPr>
          <w:rFonts w:ascii="Times New Roman" w:hAnsi="Times New Roman" w:cs="Times New Roman"/>
          <w:sz w:val="24"/>
          <w:szCs w:val="24"/>
          <w:lang w:val="en-US"/>
        </w:rPr>
        <w:t>emphasize</w:t>
      </w:r>
      <w:r w:rsidRPr="00F17126">
        <w:rPr>
          <w:rFonts w:ascii="Times New Roman" w:hAnsi="Times New Roman" w:cs="Times New Roman"/>
          <w:sz w:val="24"/>
          <w:szCs w:val="24"/>
          <w:lang w:val="en-US"/>
        </w:rPr>
        <w:t xml:space="preserve"> that the PA entails extensive binding legal obligations on countries (Bodansky</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Mace </w:t>
      </w:r>
      <w:r w:rsidR="004440E2" w:rsidRPr="00F17126">
        <w:rPr>
          <w:rFonts w:ascii="Times New Roman" w:hAnsi="Times New Roman" w:cs="Times New Roman"/>
          <w:sz w:val="24"/>
          <w:szCs w:val="24"/>
          <w:lang w:val="en-US"/>
        </w:rPr>
        <w:t>&amp;</w:t>
      </w:r>
      <w:r w:rsidRPr="00F17126">
        <w:rPr>
          <w:rFonts w:ascii="Times New Roman" w:hAnsi="Times New Roman" w:cs="Times New Roman"/>
          <w:sz w:val="24"/>
          <w:szCs w:val="24"/>
          <w:lang w:val="en-US"/>
        </w:rPr>
        <w:t xml:space="preserve"> Verheyen</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Rajamani</w:t>
      </w:r>
      <w:r w:rsidR="00E74045"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This </w:t>
      </w:r>
      <w:r w:rsidR="00E74045" w:rsidRPr="00F17126">
        <w:rPr>
          <w:rFonts w:ascii="Times New Roman" w:hAnsi="Times New Roman" w:cs="Times New Roman"/>
          <w:sz w:val="24"/>
          <w:szCs w:val="24"/>
          <w:lang w:val="en-US"/>
        </w:rPr>
        <w:t xml:space="preserve">outcome </w:t>
      </w:r>
      <w:r w:rsidRPr="00F17126">
        <w:rPr>
          <w:rFonts w:ascii="Times New Roman" w:hAnsi="Times New Roman" w:cs="Times New Roman"/>
          <w:sz w:val="24"/>
          <w:szCs w:val="24"/>
          <w:lang w:val="en-US"/>
        </w:rPr>
        <w:t xml:space="preserve">is particularly significant given that all legal options were on the table, and </w:t>
      </w:r>
      <w:r w:rsidR="00E74045" w:rsidRPr="00F17126">
        <w:rPr>
          <w:rFonts w:ascii="Times New Roman" w:hAnsi="Times New Roman" w:cs="Times New Roman"/>
          <w:sz w:val="24"/>
          <w:szCs w:val="24"/>
          <w:lang w:val="en-US"/>
        </w:rPr>
        <w:t xml:space="preserve">that the accord’s </w:t>
      </w:r>
      <w:r w:rsidRPr="00F17126">
        <w:rPr>
          <w:rFonts w:ascii="Times New Roman" w:hAnsi="Times New Roman" w:cs="Times New Roman"/>
          <w:sz w:val="24"/>
          <w:szCs w:val="24"/>
          <w:lang w:val="en-US"/>
        </w:rPr>
        <w:t xml:space="preserve">legal nature was not settled until the second week of negotiations in Paris. India in particular insisted that </w:t>
      </w:r>
      <w:r w:rsidR="0090161F">
        <w:rPr>
          <w:rFonts w:ascii="Times New Roman" w:hAnsi="Times New Roman" w:cs="Times New Roman"/>
          <w:sz w:val="24"/>
          <w:szCs w:val="24"/>
          <w:lang w:val="en-US"/>
        </w:rPr>
        <w:t>the agreement’s contents</w:t>
      </w:r>
      <w:r w:rsidRPr="00F17126">
        <w:rPr>
          <w:rFonts w:ascii="Times New Roman" w:hAnsi="Times New Roman" w:cs="Times New Roman"/>
          <w:sz w:val="24"/>
          <w:szCs w:val="24"/>
          <w:lang w:val="en-US"/>
        </w:rPr>
        <w:t xml:space="preserve"> be finalized before its legal form, </w:t>
      </w:r>
      <w:r w:rsidR="00E74045" w:rsidRPr="00F17126">
        <w:rPr>
          <w:rFonts w:ascii="Times New Roman" w:hAnsi="Times New Roman" w:cs="Times New Roman"/>
          <w:sz w:val="24"/>
          <w:szCs w:val="24"/>
          <w:lang w:val="en-US"/>
        </w:rPr>
        <w:t xml:space="preserve">meaning </w:t>
      </w:r>
      <w:r w:rsidRPr="00F17126">
        <w:rPr>
          <w:rFonts w:ascii="Times New Roman" w:hAnsi="Times New Roman" w:cs="Times New Roman"/>
          <w:sz w:val="24"/>
          <w:szCs w:val="24"/>
          <w:lang w:val="en-US"/>
        </w:rPr>
        <w:t xml:space="preserve">we could have </w:t>
      </w:r>
      <w:r w:rsidR="0090161F">
        <w:rPr>
          <w:rFonts w:ascii="Times New Roman" w:hAnsi="Times New Roman" w:cs="Times New Roman"/>
          <w:sz w:val="24"/>
          <w:szCs w:val="24"/>
          <w:lang w:val="en-US"/>
        </w:rPr>
        <w:t>had</w:t>
      </w:r>
      <w:r w:rsidRPr="00F17126">
        <w:rPr>
          <w:rFonts w:ascii="Times New Roman" w:hAnsi="Times New Roman" w:cs="Times New Roman"/>
          <w:sz w:val="24"/>
          <w:szCs w:val="24"/>
          <w:lang w:val="en-US"/>
        </w:rPr>
        <w:t xml:space="preserve"> a non-ratifiable, nonbinding instrument. </w:t>
      </w:r>
    </w:p>
    <w:p w14:paraId="0107BF0D" w14:textId="246B87DA" w:rsidR="00590D22" w:rsidRPr="00F17126" w:rsidRDefault="00937F01"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Third and </w:t>
      </w:r>
      <w:r w:rsidR="00590D22" w:rsidRPr="00F17126">
        <w:rPr>
          <w:rFonts w:ascii="Times New Roman" w:hAnsi="Times New Roman" w:cs="Times New Roman"/>
          <w:sz w:val="24"/>
          <w:szCs w:val="24"/>
          <w:lang w:val="en-US"/>
        </w:rPr>
        <w:t>importantly</w:t>
      </w:r>
      <w:r w:rsidR="00E74045" w:rsidRPr="00F17126">
        <w:rPr>
          <w:rFonts w:ascii="Times New Roman" w:hAnsi="Times New Roman" w:cs="Times New Roman"/>
          <w:sz w:val="24"/>
          <w:szCs w:val="24"/>
          <w:lang w:val="en-US"/>
        </w:rPr>
        <w:t xml:space="preserve"> for our purposes</w:t>
      </w:r>
      <w:r w:rsidR="00590D22" w:rsidRPr="00F17126">
        <w:rPr>
          <w:rFonts w:ascii="Times New Roman" w:hAnsi="Times New Roman" w:cs="Times New Roman"/>
          <w:sz w:val="24"/>
          <w:szCs w:val="24"/>
          <w:lang w:val="en-US"/>
        </w:rPr>
        <w:t xml:space="preserve">, technical and legal experts involved in negotiations </w:t>
      </w:r>
      <w:r w:rsidR="00E74045" w:rsidRPr="00F17126">
        <w:rPr>
          <w:rFonts w:ascii="Times New Roman" w:hAnsi="Times New Roman" w:cs="Times New Roman"/>
          <w:sz w:val="24"/>
          <w:szCs w:val="24"/>
          <w:lang w:val="en-US"/>
        </w:rPr>
        <w:t>believe</w:t>
      </w:r>
      <w:r w:rsidR="00590D22" w:rsidRPr="00F17126">
        <w:rPr>
          <w:rFonts w:ascii="Times New Roman" w:hAnsi="Times New Roman" w:cs="Times New Roman"/>
          <w:sz w:val="24"/>
          <w:szCs w:val="24"/>
          <w:lang w:val="en-US"/>
        </w:rPr>
        <w:t xml:space="preserve"> the agreement </w:t>
      </w:r>
      <w:r w:rsidR="00E74045" w:rsidRPr="00F17126">
        <w:rPr>
          <w:rFonts w:ascii="Times New Roman" w:hAnsi="Times New Roman" w:cs="Times New Roman"/>
          <w:sz w:val="24"/>
          <w:szCs w:val="24"/>
          <w:lang w:val="en-US"/>
        </w:rPr>
        <w:t>h</w:t>
      </w:r>
      <w:r w:rsidR="00590D22" w:rsidRPr="00F17126">
        <w:rPr>
          <w:rFonts w:ascii="Times New Roman" w:hAnsi="Times New Roman" w:cs="Times New Roman"/>
          <w:sz w:val="24"/>
          <w:szCs w:val="24"/>
          <w:lang w:val="en-US"/>
        </w:rPr>
        <w:t xml:space="preserve">as a strong potential </w:t>
      </w:r>
      <w:r w:rsidR="00FC27B2" w:rsidRPr="00F17126">
        <w:rPr>
          <w:rFonts w:ascii="Times New Roman" w:hAnsi="Times New Roman" w:cs="Times New Roman"/>
          <w:sz w:val="24"/>
          <w:szCs w:val="24"/>
          <w:lang w:val="en-US"/>
        </w:rPr>
        <w:t>for</w:t>
      </w:r>
      <w:r w:rsidR="00590D22" w:rsidRPr="00F17126">
        <w:rPr>
          <w:rFonts w:ascii="Times New Roman" w:hAnsi="Times New Roman" w:cs="Times New Roman"/>
          <w:sz w:val="24"/>
          <w:szCs w:val="24"/>
          <w:lang w:val="en-US"/>
        </w:rPr>
        <w:t xml:space="preserve"> be</w:t>
      </w:r>
      <w:r w:rsidR="00FC27B2" w:rsidRPr="00F17126">
        <w:rPr>
          <w:rFonts w:ascii="Times New Roman" w:hAnsi="Times New Roman" w:cs="Times New Roman"/>
          <w:sz w:val="24"/>
          <w:szCs w:val="24"/>
          <w:lang w:val="en-US"/>
        </w:rPr>
        <w:t>ing</w:t>
      </w:r>
      <w:r w:rsidR="00590D22" w:rsidRPr="00F17126">
        <w:rPr>
          <w:rFonts w:ascii="Times New Roman" w:hAnsi="Times New Roman" w:cs="Times New Roman"/>
          <w:sz w:val="24"/>
          <w:szCs w:val="24"/>
          <w:lang w:val="en-US"/>
        </w:rPr>
        <w:t xml:space="preserve"> effective. Recently, members of the UNFCCC </w:t>
      </w:r>
      <w:r w:rsidR="00C345A4">
        <w:rPr>
          <w:rFonts w:ascii="Times New Roman" w:hAnsi="Times New Roman" w:cs="Times New Roman"/>
          <w:sz w:val="24"/>
          <w:szCs w:val="24"/>
          <w:lang w:val="en-US"/>
        </w:rPr>
        <w:t>s</w:t>
      </w:r>
      <w:r w:rsidR="00590D22" w:rsidRPr="00F17126">
        <w:rPr>
          <w:rFonts w:ascii="Times New Roman" w:hAnsi="Times New Roman" w:cs="Times New Roman"/>
          <w:sz w:val="24"/>
          <w:szCs w:val="24"/>
          <w:lang w:val="en-US"/>
        </w:rPr>
        <w:t xml:space="preserve">ecretariat and other experts close to the process contributed to a book that draws the broad conclusion that the </w:t>
      </w:r>
      <w:r w:rsidR="00FC27B2" w:rsidRPr="00F17126">
        <w:rPr>
          <w:rFonts w:ascii="Times New Roman" w:hAnsi="Times New Roman" w:cs="Times New Roman"/>
          <w:sz w:val="24"/>
          <w:szCs w:val="24"/>
          <w:lang w:val="en-US"/>
        </w:rPr>
        <w:t>PA</w:t>
      </w:r>
      <w:r w:rsidR="00590D22" w:rsidRPr="00F17126">
        <w:rPr>
          <w:rFonts w:ascii="Times New Roman" w:hAnsi="Times New Roman" w:cs="Times New Roman"/>
          <w:sz w:val="24"/>
          <w:szCs w:val="24"/>
          <w:lang w:val="en-US"/>
        </w:rPr>
        <w:t xml:space="preserve"> is equipped to achieve the ambitious goals it contains (Klein et al.</w:t>
      </w:r>
      <w:r w:rsidR="004440E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2017). One insider writes, “we should expect to see consistent over-achievement among </w:t>
      </w:r>
      <w:r w:rsidR="00777C40">
        <w:rPr>
          <w:rFonts w:ascii="Times New Roman" w:hAnsi="Times New Roman" w:cs="Times New Roman"/>
          <w:sz w:val="24"/>
          <w:szCs w:val="24"/>
          <w:lang w:val="en-US"/>
        </w:rPr>
        <w:t>Parties</w:t>
      </w:r>
      <w:r w:rsidR="00590D22" w:rsidRPr="00F17126">
        <w:rPr>
          <w:rFonts w:ascii="Times New Roman" w:hAnsi="Times New Roman" w:cs="Times New Roman"/>
          <w:sz w:val="24"/>
          <w:szCs w:val="24"/>
          <w:lang w:val="en-US"/>
        </w:rPr>
        <w:t>” because of political momentum the PA is generating (Higham</w:t>
      </w:r>
      <w:r w:rsidR="004440E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2017). </w:t>
      </w:r>
    </w:p>
    <w:p w14:paraId="21391317" w14:textId="2DD6B7B2" w:rsidR="00590D22" w:rsidRPr="00F17126" w:rsidRDefault="00937F01"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Fourth</w:t>
      </w:r>
      <w:r w:rsidR="00590D22" w:rsidRPr="00F17126">
        <w:rPr>
          <w:rFonts w:ascii="Times New Roman" w:hAnsi="Times New Roman" w:cs="Times New Roman"/>
          <w:sz w:val="24"/>
          <w:szCs w:val="24"/>
          <w:lang w:val="en-US"/>
        </w:rPr>
        <w:t>, the PA is a facilitative rather than prescriptive instrument. Compliance mechanisms are weak, with a “facilitative” committee to consider country implementation in</w:t>
      </w:r>
      <w:r w:rsidR="00FC27B2" w:rsidRPr="00F17126">
        <w:rPr>
          <w:rFonts w:ascii="Times New Roman" w:hAnsi="Times New Roman" w:cs="Times New Roman"/>
          <w:sz w:val="24"/>
          <w:szCs w:val="24"/>
          <w:lang w:val="en-US"/>
        </w:rPr>
        <w:t xml:space="preserve"> a</w:t>
      </w:r>
      <w:r w:rsidR="00590D22" w:rsidRPr="00F17126">
        <w:rPr>
          <w:rFonts w:ascii="Times New Roman" w:hAnsi="Times New Roman" w:cs="Times New Roman"/>
          <w:sz w:val="24"/>
          <w:szCs w:val="24"/>
          <w:lang w:val="en-US"/>
        </w:rPr>
        <w:t xml:space="preserve"> “non-adversarial and non-punitive” manner (</w:t>
      </w:r>
      <w:r w:rsidR="008D4F20">
        <w:rPr>
          <w:rFonts w:ascii="Times New Roman" w:hAnsi="Times New Roman" w:cs="Times New Roman"/>
          <w:sz w:val="24"/>
          <w:szCs w:val="24"/>
          <w:lang w:val="en-US"/>
        </w:rPr>
        <w:t>Art.</w:t>
      </w:r>
      <w:r w:rsidR="008D4F20" w:rsidRPr="00F17126">
        <w:rPr>
          <w:rFonts w:ascii="Times New Roman" w:hAnsi="Times New Roman" w:cs="Times New Roman"/>
          <w:sz w:val="24"/>
          <w:szCs w:val="24"/>
          <w:lang w:val="en-US"/>
        </w:rPr>
        <w:t xml:space="preserve"> </w:t>
      </w:r>
      <w:r w:rsidR="00590D22" w:rsidRPr="00F17126">
        <w:rPr>
          <w:rFonts w:ascii="Times New Roman" w:hAnsi="Times New Roman" w:cs="Times New Roman"/>
          <w:sz w:val="24"/>
          <w:szCs w:val="24"/>
          <w:lang w:val="en-US"/>
        </w:rPr>
        <w:t xml:space="preserve">15). As one analysis puts it, the PA uses “legally soft language that nudges </w:t>
      </w:r>
      <w:r w:rsidR="004440E2" w:rsidRPr="00F17126">
        <w:rPr>
          <w:rFonts w:ascii="Times New Roman" w:hAnsi="Times New Roman" w:cs="Times New Roman"/>
          <w:sz w:val="24"/>
          <w:szCs w:val="24"/>
          <w:lang w:val="en-US"/>
        </w:rPr>
        <w:t>but does not prescribe” (Bodle &amp;</w:t>
      </w:r>
      <w:r w:rsidR="00590D22" w:rsidRPr="00F17126">
        <w:rPr>
          <w:rFonts w:ascii="Times New Roman" w:hAnsi="Times New Roman" w:cs="Times New Roman"/>
          <w:sz w:val="24"/>
          <w:szCs w:val="24"/>
          <w:lang w:val="en-US"/>
        </w:rPr>
        <w:t xml:space="preserve"> </w:t>
      </w:r>
      <w:r w:rsidR="00BD174F" w:rsidRPr="00F17126">
        <w:rPr>
          <w:rFonts w:ascii="Times New Roman" w:hAnsi="Times New Roman" w:cs="Times New Roman"/>
          <w:sz w:val="24"/>
          <w:szCs w:val="24"/>
          <w:lang w:val="en-US"/>
        </w:rPr>
        <w:t>Oberthür</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2017). It defines aspirational goals and establishes normative expectations (Rajamani</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2016)</w:t>
      </w:r>
      <w:r w:rsidR="00FC27B2" w:rsidRPr="00F17126">
        <w:rPr>
          <w:rFonts w:ascii="Times New Roman" w:hAnsi="Times New Roman" w:cs="Times New Roman"/>
          <w:sz w:val="24"/>
          <w:szCs w:val="24"/>
          <w:lang w:val="en-US"/>
        </w:rPr>
        <w:t>, while</w:t>
      </w:r>
      <w:r w:rsidR="00590D22" w:rsidRPr="00F17126">
        <w:rPr>
          <w:rFonts w:ascii="Times New Roman" w:hAnsi="Times New Roman" w:cs="Times New Roman"/>
          <w:sz w:val="24"/>
          <w:szCs w:val="24"/>
          <w:lang w:val="en-US"/>
        </w:rPr>
        <w:t xml:space="preserve"> </w:t>
      </w:r>
      <w:r w:rsidR="00FC27B2" w:rsidRPr="00F17126">
        <w:rPr>
          <w:rFonts w:ascii="Times New Roman" w:hAnsi="Times New Roman" w:cs="Times New Roman"/>
          <w:sz w:val="24"/>
          <w:szCs w:val="24"/>
          <w:lang w:val="en-US"/>
        </w:rPr>
        <w:t>s</w:t>
      </w:r>
      <w:r w:rsidR="00590D22" w:rsidRPr="00F17126">
        <w:rPr>
          <w:rFonts w:ascii="Times New Roman" w:hAnsi="Times New Roman" w:cs="Times New Roman"/>
          <w:sz w:val="24"/>
          <w:szCs w:val="24"/>
          <w:lang w:val="en-US"/>
        </w:rPr>
        <w:t>ome provisions create obligations of conduct rather than results (</w:t>
      </w:r>
      <w:r w:rsidR="00EF7CB7">
        <w:rPr>
          <w:rFonts w:ascii="Times New Roman" w:hAnsi="Times New Roman" w:cs="Times New Roman"/>
          <w:sz w:val="24"/>
          <w:szCs w:val="24"/>
          <w:lang w:val="en-US"/>
        </w:rPr>
        <w:t>I</w:t>
      </w:r>
      <w:r w:rsidR="00590D22" w:rsidRPr="00F17126">
        <w:rPr>
          <w:rFonts w:ascii="Times New Roman" w:hAnsi="Times New Roman" w:cs="Times New Roman"/>
          <w:sz w:val="24"/>
          <w:szCs w:val="24"/>
          <w:lang w:val="en-US"/>
        </w:rPr>
        <w:t>bid</w:t>
      </w:r>
      <w:r w:rsidR="005C1D57">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Bodansky</w:t>
      </w:r>
      <w:r w:rsidR="00FC27B2" w:rsidRPr="00F17126">
        <w:rPr>
          <w:rFonts w:ascii="Times New Roman" w:hAnsi="Times New Roman" w:cs="Times New Roman"/>
          <w:sz w:val="24"/>
          <w:szCs w:val="24"/>
          <w:lang w:val="en-US"/>
        </w:rPr>
        <w:t xml:space="preserve">, 2016). </w:t>
      </w:r>
      <w:r w:rsidR="00FB0A92">
        <w:rPr>
          <w:rFonts w:ascii="Times New Roman" w:hAnsi="Times New Roman" w:cs="Times New Roman"/>
          <w:sz w:val="24"/>
          <w:szCs w:val="24"/>
          <w:lang w:val="en-US"/>
        </w:rPr>
        <w:t>Its</w:t>
      </w:r>
      <w:r w:rsidR="00FC27B2" w:rsidRPr="00F17126">
        <w:rPr>
          <w:rFonts w:ascii="Times New Roman" w:hAnsi="Times New Roman" w:cs="Times New Roman"/>
          <w:sz w:val="24"/>
          <w:szCs w:val="24"/>
          <w:lang w:val="en-US"/>
        </w:rPr>
        <w:t xml:space="preserve"> form </w:t>
      </w:r>
      <w:r w:rsidR="00590D22" w:rsidRPr="00F17126">
        <w:rPr>
          <w:rFonts w:ascii="Times New Roman" w:hAnsi="Times New Roman" w:cs="Times New Roman"/>
          <w:sz w:val="24"/>
          <w:szCs w:val="24"/>
          <w:lang w:val="en-US"/>
        </w:rPr>
        <w:t>reflects the strong preferences of the U</w:t>
      </w:r>
      <w:r w:rsidR="00FC27B2" w:rsidRPr="00F17126">
        <w:rPr>
          <w:rFonts w:ascii="Times New Roman" w:hAnsi="Times New Roman" w:cs="Times New Roman"/>
          <w:sz w:val="24"/>
          <w:szCs w:val="24"/>
          <w:lang w:val="en-US"/>
        </w:rPr>
        <w:t xml:space="preserve">nited </w:t>
      </w:r>
      <w:r w:rsidR="00590D22" w:rsidRPr="00F17126">
        <w:rPr>
          <w:rFonts w:ascii="Times New Roman" w:hAnsi="Times New Roman" w:cs="Times New Roman"/>
          <w:sz w:val="24"/>
          <w:szCs w:val="24"/>
          <w:lang w:val="en-US"/>
        </w:rPr>
        <w:t>S</w:t>
      </w:r>
      <w:r w:rsidR="00FC27B2" w:rsidRPr="00F17126">
        <w:rPr>
          <w:rFonts w:ascii="Times New Roman" w:hAnsi="Times New Roman" w:cs="Times New Roman"/>
          <w:sz w:val="24"/>
          <w:szCs w:val="24"/>
          <w:lang w:val="en-US"/>
        </w:rPr>
        <w:t>tates</w:t>
      </w:r>
      <w:r w:rsidR="00590D22" w:rsidRPr="00F17126">
        <w:rPr>
          <w:rFonts w:ascii="Times New Roman" w:hAnsi="Times New Roman" w:cs="Times New Roman"/>
          <w:sz w:val="24"/>
          <w:szCs w:val="24"/>
          <w:lang w:val="en-US"/>
        </w:rPr>
        <w:t>, China</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and India</w:t>
      </w:r>
      <w:r w:rsidR="00FB0A92">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who opposed mandatory achievement of targets (Dimitrov</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2016; Rajamani</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2016</w:t>
      </w:r>
      <w:r w:rsidR="00610246">
        <w:rPr>
          <w:rFonts w:ascii="Times New Roman" w:hAnsi="Times New Roman" w:cs="Times New Roman"/>
          <w:sz w:val="24"/>
          <w:szCs w:val="24"/>
          <w:lang w:val="en-US"/>
        </w:rPr>
        <w:t>, p.</w:t>
      </w:r>
      <w:r w:rsidR="00590D22" w:rsidRPr="00F17126">
        <w:rPr>
          <w:rFonts w:ascii="Times New Roman" w:hAnsi="Times New Roman" w:cs="Times New Roman"/>
          <w:sz w:val="24"/>
          <w:szCs w:val="24"/>
          <w:lang w:val="en-US"/>
        </w:rPr>
        <w:t xml:space="preserve"> 498). </w:t>
      </w:r>
      <w:r w:rsidR="00FB0A92">
        <w:rPr>
          <w:rFonts w:ascii="Times New Roman" w:hAnsi="Times New Roman" w:cs="Times New Roman"/>
          <w:sz w:val="24"/>
          <w:szCs w:val="24"/>
          <w:lang w:val="en-US"/>
        </w:rPr>
        <w:t>Most insiders recognize</w:t>
      </w:r>
      <w:r w:rsidR="00FC27B2" w:rsidRPr="00F17126">
        <w:rPr>
          <w:rFonts w:ascii="Times New Roman" w:hAnsi="Times New Roman" w:cs="Times New Roman"/>
          <w:sz w:val="24"/>
          <w:szCs w:val="24"/>
          <w:lang w:val="en-US"/>
        </w:rPr>
        <w:t xml:space="preserve"> </w:t>
      </w:r>
      <w:r w:rsidR="00590D22" w:rsidRPr="00F17126">
        <w:rPr>
          <w:rFonts w:ascii="Times New Roman" w:hAnsi="Times New Roman" w:cs="Times New Roman"/>
          <w:sz w:val="24"/>
          <w:szCs w:val="24"/>
          <w:lang w:val="en-US"/>
        </w:rPr>
        <w:t xml:space="preserve">that the PA is not a conventional agreement that follows the traditional top-down model of </w:t>
      </w:r>
      <w:r w:rsidR="00590D22" w:rsidRPr="00F17126">
        <w:rPr>
          <w:rFonts w:ascii="Times New Roman" w:hAnsi="Times New Roman" w:cs="Times New Roman"/>
          <w:sz w:val="24"/>
          <w:szCs w:val="24"/>
          <w:lang w:val="en-US"/>
        </w:rPr>
        <w:lastRenderedPageBreak/>
        <w:t xml:space="preserve">international law. </w:t>
      </w:r>
      <w:r w:rsidR="00FC27B2" w:rsidRPr="00F17126">
        <w:rPr>
          <w:rFonts w:ascii="Times New Roman" w:hAnsi="Times New Roman" w:cs="Times New Roman"/>
          <w:sz w:val="24"/>
          <w:szCs w:val="24"/>
          <w:lang w:val="en-US"/>
        </w:rPr>
        <w:t>Assessing its impact therefore</w:t>
      </w:r>
      <w:r w:rsidR="00590D22" w:rsidRPr="00F17126">
        <w:rPr>
          <w:rFonts w:ascii="Times New Roman" w:hAnsi="Times New Roman" w:cs="Times New Roman"/>
          <w:sz w:val="24"/>
          <w:szCs w:val="24"/>
          <w:lang w:val="en-US"/>
        </w:rPr>
        <w:t xml:space="preserve"> requires a holistic perspective. </w:t>
      </w:r>
      <w:r w:rsidR="00FB0A92">
        <w:rPr>
          <w:rFonts w:ascii="Times New Roman" w:hAnsi="Times New Roman" w:cs="Times New Roman"/>
          <w:sz w:val="24"/>
          <w:szCs w:val="24"/>
          <w:lang w:val="en-US"/>
        </w:rPr>
        <w:t>Narrowly focusing</w:t>
      </w:r>
      <w:r w:rsidR="00590D22" w:rsidRPr="00F17126">
        <w:rPr>
          <w:rFonts w:ascii="Times New Roman" w:hAnsi="Times New Roman" w:cs="Times New Roman"/>
          <w:sz w:val="24"/>
          <w:szCs w:val="24"/>
          <w:lang w:val="en-US"/>
        </w:rPr>
        <w:t xml:space="preserve"> on individual legal provisions would be misleading</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since the dynamic interaction of legal provisions on mitigation, transparency, and progression is equally important (Winkler</w:t>
      </w:r>
      <w:r w:rsidR="00FC27B2" w:rsidRPr="00F17126">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2017). </w:t>
      </w:r>
      <w:r w:rsidR="00FC27B2" w:rsidRPr="00F17126">
        <w:rPr>
          <w:rFonts w:ascii="Times New Roman" w:hAnsi="Times New Roman" w:cs="Times New Roman"/>
          <w:sz w:val="24"/>
          <w:szCs w:val="24"/>
          <w:lang w:val="en-US"/>
        </w:rPr>
        <w:t>Thus,</w:t>
      </w:r>
      <w:r w:rsidR="00590D22" w:rsidRPr="00F17126">
        <w:rPr>
          <w:rFonts w:ascii="Times New Roman" w:hAnsi="Times New Roman" w:cs="Times New Roman"/>
          <w:sz w:val="24"/>
          <w:szCs w:val="24"/>
          <w:lang w:val="en-US"/>
        </w:rPr>
        <w:t xml:space="preserve"> </w:t>
      </w:r>
      <w:r w:rsidR="00FB0A92">
        <w:rPr>
          <w:rFonts w:ascii="Times New Roman" w:hAnsi="Times New Roman" w:cs="Times New Roman"/>
          <w:sz w:val="24"/>
          <w:szCs w:val="24"/>
          <w:lang w:val="en-US"/>
        </w:rPr>
        <w:t xml:space="preserve">the PA’s impact will likely </w:t>
      </w:r>
      <w:r w:rsidR="00590D22" w:rsidRPr="00F17126">
        <w:rPr>
          <w:rFonts w:ascii="Times New Roman" w:hAnsi="Times New Roman" w:cs="Times New Roman"/>
          <w:sz w:val="24"/>
          <w:szCs w:val="24"/>
          <w:lang w:val="en-US"/>
        </w:rPr>
        <w:t xml:space="preserve">come through </w:t>
      </w:r>
      <w:r w:rsidR="00FC27B2" w:rsidRPr="00F17126">
        <w:rPr>
          <w:rFonts w:ascii="Times New Roman" w:hAnsi="Times New Roman" w:cs="Times New Roman"/>
          <w:sz w:val="24"/>
          <w:szCs w:val="24"/>
          <w:lang w:val="en-US"/>
        </w:rPr>
        <w:t xml:space="preserve">other </w:t>
      </w:r>
      <w:r w:rsidR="00590D22" w:rsidRPr="00F17126">
        <w:rPr>
          <w:rFonts w:ascii="Times New Roman" w:hAnsi="Times New Roman" w:cs="Times New Roman"/>
          <w:sz w:val="24"/>
          <w:szCs w:val="24"/>
          <w:lang w:val="en-US"/>
        </w:rPr>
        <w:t xml:space="preserve">mechanisms </w:t>
      </w:r>
      <w:r w:rsidR="00FB0A92">
        <w:rPr>
          <w:rFonts w:ascii="Times New Roman" w:hAnsi="Times New Roman" w:cs="Times New Roman"/>
          <w:sz w:val="24"/>
          <w:szCs w:val="24"/>
          <w:lang w:val="en-US"/>
        </w:rPr>
        <w:t>that influence</w:t>
      </w:r>
      <w:r w:rsidR="00590D22" w:rsidRPr="00F17126">
        <w:rPr>
          <w:rFonts w:ascii="Times New Roman" w:hAnsi="Times New Roman" w:cs="Times New Roman"/>
          <w:sz w:val="24"/>
          <w:szCs w:val="24"/>
          <w:lang w:val="en-US"/>
        </w:rPr>
        <w:t xml:space="preserve"> policy </w:t>
      </w:r>
      <w:r w:rsidR="005C1D57" w:rsidRPr="00F17126">
        <w:rPr>
          <w:rFonts w:ascii="Times New Roman" w:hAnsi="Times New Roman" w:cs="Times New Roman"/>
          <w:sz w:val="24"/>
          <w:szCs w:val="24"/>
          <w:lang w:val="en-US"/>
        </w:rPr>
        <w:t>behavior</w:t>
      </w:r>
      <w:r w:rsidR="00590D22" w:rsidRPr="00F17126">
        <w:rPr>
          <w:rFonts w:ascii="Times New Roman" w:hAnsi="Times New Roman" w:cs="Times New Roman"/>
          <w:sz w:val="24"/>
          <w:szCs w:val="24"/>
          <w:lang w:val="en-US"/>
        </w:rPr>
        <w:t xml:space="preserve"> </w:t>
      </w:r>
      <w:r w:rsidR="00FB0A92">
        <w:rPr>
          <w:rFonts w:ascii="Times New Roman" w:hAnsi="Times New Roman" w:cs="Times New Roman"/>
          <w:sz w:val="24"/>
          <w:szCs w:val="24"/>
          <w:lang w:val="en-US"/>
        </w:rPr>
        <w:t xml:space="preserve">rather </w:t>
      </w:r>
      <w:r w:rsidR="00FC27B2" w:rsidRPr="00F17126">
        <w:rPr>
          <w:rFonts w:ascii="Times New Roman" w:hAnsi="Times New Roman" w:cs="Times New Roman"/>
          <w:sz w:val="24"/>
          <w:szCs w:val="24"/>
          <w:lang w:val="en-US"/>
        </w:rPr>
        <w:t>than</w:t>
      </w:r>
      <w:r w:rsidR="00590D22" w:rsidRPr="00F17126">
        <w:rPr>
          <w:rFonts w:ascii="Times New Roman" w:hAnsi="Times New Roman" w:cs="Times New Roman"/>
          <w:sz w:val="24"/>
          <w:szCs w:val="24"/>
          <w:lang w:val="en-US"/>
        </w:rPr>
        <w:t xml:space="preserve"> </w:t>
      </w:r>
      <w:r w:rsidR="00FB0A92">
        <w:rPr>
          <w:rFonts w:ascii="Times New Roman" w:hAnsi="Times New Roman" w:cs="Times New Roman"/>
          <w:sz w:val="24"/>
          <w:szCs w:val="24"/>
          <w:lang w:val="en-US"/>
        </w:rPr>
        <w:t xml:space="preserve">through </w:t>
      </w:r>
      <w:r w:rsidR="00590D22" w:rsidRPr="00F17126">
        <w:rPr>
          <w:rFonts w:ascii="Times New Roman" w:hAnsi="Times New Roman" w:cs="Times New Roman"/>
          <w:sz w:val="24"/>
          <w:szCs w:val="24"/>
          <w:lang w:val="en-US"/>
        </w:rPr>
        <w:t>formal compliance</w:t>
      </w:r>
      <w:r w:rsidR="00FB0A92">
        <w:rPr>
          <w:rFonts w:ascii="Times New Roman" w:hAnsi="Times New Roman" w:cs="Times New Roman"/>
          <w:sz w:val="24"/>
          <w:szCs w:val="24"/>
          <w:lang w:val="en-US"/>
        </w:rPr>
        <w:t>,</w:t>
      </w:r>
      <w:r w:rsidR="00590D22" w:rsidRPr="00F17126">
        <w:rPr>
          <w:rFonts w:ascii="Times New Roman" w:hAnsi="Times New Roman" w:cs="Times New Roman"/>
          <w:sz w:val="24"/>
          <w:szCs w:val="24"/>
          <w:lang w:val="en-US"/>
        </w:rPr>
        <w:t xml:space="preserve"> </w:t>
      </w:r>
      <w:r w:rsidR="00FC27B2" w:rsidRPr="00F17126">
        <w:rPr>
          <w:rFonts w:ascii="Times New Roman" w:hAnsi="Times New Roman" w:cs="Times New Roman"/>
          <w:sz w:val="24"/>
          <w:szCs w:val="24"/>
          <w:lang w:val="en-US"/>
        </w:rPr>
        <w:t>and</w:t>
      </w:r>
      <w:r w:rsidR="00590D22" w:rsidRPr="00F17126">
        <w:rPr>
          <w:rFonts w:ascii="Times New Roman" w:hAnsi="Times New Roman" w:cs="Times New Roman"/>
          <w:sz w:val="24"/>
          <w:szCs w:val="24"/>
          <w:lang w:val="en-US"/>
        </w:rPr>
        <w:t xml:space="preserve"> </w:t>
      </w:r>
      <w:r w:rsidR="00FC27B2" w:rsidRPr="00F17126">
        <w:rPr>
          <w:rFonts w:ascii="Times New Roman" w:hAnsi="Times New Roman" w:cs="Times New Roman"/>
          <w:sz w:val="24"/>
          <w:szCs w:val="24"/>
          <w:lang w:val="en-US"/>
        </w:rPr>
        <w:t xml:space="preserve">will </w:t>
      </w:r>
      <w:r w:rsidR="00FB0A92">
        <w:rPr>
          <w:rFonts w:ascii="Times New Roman" w:hAnsi="Times New Roman" w:cs="Times New Roman"/>
          <w:sz w:val="24"/>
          <w:szCs w:val="24"/>
          <w:lang w:val="en-US"/>
        </w:rPr>
        <w:t xml:space="preserve">likely </w:t>
      </w:r>
      <w:r w:rsidR="00590D22" w:rsidRPr="00F17126">
        <w:rPr>
          <w:rFonts w:ascii="Times New Roman" w:hAnsi="Times New Roman" w:cs="Times New Roman"/>
          <w:sz w:val="24"/>
          <w:szCs w:val="24"/>
          <w:lang w:val="en-US"/>
        </w:rPr>
        <w:t xml:space="preserve">rely more on normative forces. </w:t>
      </w:r>
    </w:p>
    <w:p w14:paraId="259E2A22" w14:textId="63F57917" w:rsidR="00590D22" w:rsidRPr="00F17126" w:rsidRDefault="00590D22"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A </w:t>
      </w:r>
      <w:r w:rsidR="00937F01" w:rsidRPr="00F17126">
        <w:rPr>
          <w:rFonts w:ascii="Times New Roman" w:hAnsi="Times New Roman" w:cs="Times New Roman"/>
          <w:sz w:val="24"/>
          <w:szCs w:val="24"/>
          <w:lang w:val="en-US"/>
        </w:rPr>
        <w:t>fifth</w:t>
      </w:r>
      <w:r w:rsidRPr="00F17126">
        <w:rPr>
          <w:rFonts w:ascii="Times New Roman" w:hAnsi="Times New Roman" w:cs="Times New Roman"/>
          <w:sz w:val="24"/>
          <w:szCs w:val="24"/>
          <w:lang w:val="en-US"/>
        </w:rPr>
        <w:t xml:space="preserve"> common theme among insiders is uncertainty about the future. While all consider the PA as a major pillar of the global climate policy regime, they emphasize the contingent nature of its potential impact. Most agree it is too early to tell and </w:t>
      </w:r>
      <w:r w:rsidR="00FC27B2" w:rsidRPr="00F17126">
        <w:rPr>
          <w:rFonts w:ascii="Times New Roman" w:hAnsi="Times New Roman" w:cs="Times New Roman"/>
          <w:sz w:val="24"/>
          <w:szCs w:val="24"/>
          <w:lang w:val="en-US"/>
        </w:rPr>
        <w:t xml:space="preserve">that </w:t>
      </w:r>
      <w:r w:rsidRPr="00F17126">
        <w:rPr>
          <w:rFonts w:ascii="Times New Roman" w:hAnsi="Times New Roman" w:cs="Times New Roman"/>
          <w:sz w:val="24"/>
          <w:szCs w:val="24"/>
          <w:lang w:val="en-US"/>
        </w:rPr>
        <w:t>the result depends on domestic developments (Winkler</w:t>
      </w:r>
      <w:r w:rsidR="00FC27B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 Clémençon</w:t>
      </w:r>
      <w:r w:rsidR="00FC27B2" w:rsidRPr="00F17126">
        <w:rPr>
          <w:rFonts w:ascii="Times New Roman" w:hAnsi="Times New Roman" w:cs="Times New Roman"/>
          <w:sz w:val="24"/>
          <w:szCs w:val="24"/>
          <w:lang w:val="en-US"/>
        </w:rPr>
        <w:t>, 2016). Some emphasize the “</w:t>
      </w:r>
      <w:r w:rsidRPr="00F17126">
        <w:rPr>
          <w:rFonts w:ascii="Times New Roman" w:hAnsi="Times New Roman" w:cs="Times New Roman"/>
          <w:sz w:val="24"/>
          <w:szCs w:val="24"/>
          <w:lang w:val="en-US"/>
        </w:rPr>
        <w:t>interpretative possibilities</w:t>
      </w:r>
      <w:r w:rsidR="00FC27B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engrained in </w:t>
      </w:r>
      <w:r w:rsidR="00FB0A92">
        <w:rPr>
          <w:rFonts w:ascii="Times New Roman" w:hAnsi="Times New Roman" w:cs="Times New Roman"/>
          <w:sz w:val="24"/>
          <w:szCs w:val="24"/>
          <w:lang w:val="en-US"/>
        </w:rPr>
        <w:t>the treaty’s text</w:t>
      </w:r>
      <w:r w:rsidRPr="00F17126">
        <w:rPr>
          <w:rFonts w:ascii="Times New Roman" w:hAnsi="Times New Roman" w:cs="Times New Roman"/>
          <w:sz w:val="24"/>
          <w:szCs w:val="24"/>
          <w:lang w:val="en-US"/>
        </w:rPr>
        <w:t xml:space="preserve"> and the room for legal heuristics regarding some provisions (Rajamani</w:t>
      </w:r>
      <w:r w:rsidR="00FC27B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Others stress the broader </w:t>
      </w:r>
      <w:r w:rsidR="00FC27B2" w:rsidRPr="00F17126">
        <w:rPr>
          <w:rFonts w:ascii="Times New Roman" w:hAnsi="Times New Roman" w:cs="Times New Roman"/>
          <w:sz w:val="24"/>
          <w:szCs w:val="24"/>
          <w:lang w:val="en-US"/>
        </w:rPr>
        <w:t>socio-political</w:t>
      </w:r>
      <w:r w:rsidRPr="00F17126">
        <w:rPr>
          <w:rFonts w:ascii="Times New Roman" w:hAnsi="Times New Roman" w:cs="Times New Roman"/>
          <w:sz w:val="24"/>
          <w:szCs w:val="24"/>
          <w:lang w:val="en-US"/>
        </w:rPr>
        <w:t xml:space="preserve"> context, vested interests in the fossil-fuel economy</w:t>
      </w:r>
      <w:r w:rsidR="00871B4F"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and whether investments will continue to flow </w:t>
      </w:r>
      <w:r w:rsidR="00B04029">
        <w:rPr>
          <w:rFonts w:ascii="Times New Roman" w:hAnsi="Times New Roman" w:cs="Times New Roman"/>
          <w:sz w:val="24"/>
          <w:szCs w:val="24"/>
          <w:lang w:val="en-US"/>
        </w:rPr>
        <w:t>toward</w:t>
      </w:r>
      <w:r w:rsidR="00B04029"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renewable energy (Clémençon</w:t>
      </w:r>
      <w:r w:rsidR="00FC27B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Higham</w:t>
      </w:r>
      <w:r w:rsidR="00FC27B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 Still others emphasize that PA implementation depends on rules and procedures yet to be agreed in current and fu</w:t>
      </w:r>
      <w:r w:rsidR="00871B4F" w:rsidRPr="00F17126">
        <w:rPr>
          <w:rFonts w:ascii="Times New Roman" w:hAnsi="Times New Roman" w:cs="Times New Roman"/>
          <w:sz w:val="24"/>
          <w:szCs w:val="24"/>
          <w:lang w:val="en-US"/>
        </w:rPr>
        <w:t>ture negotiations on the “</w:t>
      </w:r>
      <w:r w:rsidRPr="00F17126">
        <w:rPr>
          <w:rFonts w:ascii="Times New Roman" w:hAnsi="Times New Roman" w:cs="Times New Roman"/>
          <w:sz w:val="24"/>
          <w:szCs w:val="24"/>
          <w:lang w:val="en-US"/>
        </w:rPr>
        <w:t>rulebook</w:t>
      </w:r>
      <w:r w:rsidR="00871B4F"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(Mace </w:t>
      </w:r>
      <w:r w:rsidR="004440E2" w:rsidRPr="00F17126">
        <w:rPr>
          <w:rFonts w:ascii="Times New Roman" w:hAnsi="Times New Roman" w:cs="Times New Roman"/>
          <w:sz w:val="24"/>
          <w:szCs w:val="24"/>
          <w:lang w:val="en-US"/>
        </w:rPr>
        <w:t>&amp;</w:t>
      </w:r>
      <w:r w:rsidRPr="00F17126">
        <w:rPr>
          <w:rFonts w:ascii="Times New Roman" w:hAnsi="Times New Roman" w:cs="Times New Roman"/>
          <w:sz w:val="24"/>
          <w:szCs w:val="24"/>
          <w:lang w:val="en-US"/>
        </w:rPr>
        <w:t xml:space="preserve"> Verheyen</w:t>
      </w:r>
      <w:r w:rsidR="00871B4F"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Fry</w:t>
      </w:r>
      <w:r w:rsidR="00871B4F"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Winkler</w:t>
      </w:r>
      <w:r w:rsidR="00871B4F"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w:t>
      </w:r>
    </w:p>
    <w:p w14:paraId="3FC311FC" w14:textId="7EACCADF" w:rsidR="00590D22" w:rsidRPr="00F17126" w:rsidRDefault="00590D22" w:rsidP="00590D22">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Finally, theoretical explanations of the Paris outcome are scant among insider accounts. </w:t>
      </w:r>
      <w:r w:rsidR="00871B4F" w:rsidRPr="00F17126">
        <w:rPr>
          <w:rFonts w:ascii="Times New Roman" w:hAnsi="Times New Roman" w:cs="Times New Roman"/>
          <w:sz w:val="24"/>
          <w:szCs w:val="24"/>
          <w:lang w:val="en-US"/>
        </w:rPr>
        <w:t>O</w:t>
      </w:r>
      <w:r w:rsidR="00937F01" w:rsidRPr="00F17126">
        <w:rPr>
          <w:rFonts w:ascii="Times New Roman" w:hAnsi="Times New Roman" w:cs="Times New Roman"/>
          <w:sz w:val="24"/>
          <w:szCs w:val="24"/>
          <w:lang w:val="en-US"/>
        </w:rPr>
        <w:t>ne</w:t>
      </w:r>
      <w:r w:rsidRPr="00F17126">
        <w:rPr>
          <w:rFonts w:ascii="Times New Roman" w:hAnsi="Times New Roman" w:cs="Times New Roman"/>
          <w:sz w:val="24"/>
          <w:szCs w:val="24"/>
          <w:lang w:val="en-US"/>
        </w:rPr>
        <w:t xml:space="preserve"> account </w:t>
      </w:r>
      <w:r w:rsidR="00871B4F" w:rsidRPr="00F17126">
        <w:rPr>
          <w:rFonts w:ascii="Times New Roman" w:hAnsi="Times New Roman" w:cs="Times New Roman"/>
          <w:sz w:val="24"/>
          <w:szCs w:val="24"/>
          <w:lang w:val="en-US"/>
        </w:rPr>
        <w:t>emphasize</w:t>
      </w:r>
      <w:r w:rsidR="00937F01" w:rsidRPr="00F17126">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the role o</w:t>
      </w:r>
      <w:r w:rsidR="00871B4F" w:rsidRPr="00F17126">
        <w:rPr>
          <w:rFonts w:ascii="Times New Roman" w:hAnsi="Times New Roman" w:cs="Times New Roman"/>
          <w:sz w:val="24"/>
          <w:szCs w:val="24"/>
          <w:lang w:val="en-US"/>
        </w:rPr>
        <w:t xml:space="preserve">f organizational leadership, </w:t>
      </w:r>
      <w:r w:rsidRPr="00F17126">
        <w:rPr>
          <w:rFonts w:ascii="Times New Roman" w:hAnsi="Times New Roman" w:cs="Times New Roman"/>
          <w:sz w:val="24"/>
          <w:szCs w:val="24"/>
          <w:lang w:val="en-US"/>
        </w:rPr>
        <w:t>stress</w:t>
      </w:r>
      <w:r w:rsidR="00871B4F" w:rsidRPr="00F17126">
        <w:rPr>
          <w:rFonts w:ascii="Times New Roman" w:hAnsi="Times New Roman" w:cs="Times New Roman"/>
          <w:sz w:val="24"/>
          <w:szCs w:val="24"/>
          <w:lang w:val="en-US"/>
        </w:rPr>
        <w:t xml:space="preserve">ing </w:t>
      </w:r>
      <w:r w:rsidR="00731A06">
        <w:rPr>
          <w:rFonts w:ascii="Times New Roman" w:hAnsi="Times New Roman" w:cs="Times New Roman"/>
          <w:sz w:val="24"/>
          <w:szCs w:val="24"/>
          <w:lang w:val="en-US"/>
        </w:rPr>
        <w:t>particularly</w:t>
      </w:r>
      <w:r w:rsidRPr="00F17126">
        <w:rPr>
          <w:rFonts w:ascii="Times New Roman" w:hAnsi="Times New Roman" w:cs="Times New Roman"/>
          <w:sz w:val="24"/>
          <w:szCs w:val="24"/>
          <w:lang w:val="en-US"/>
        </w:rPr>
        <w:t xml:space="preserve"> the entrepreneurial leadership of the High Ambition Coalition in bridging the North</w:t>
      </w:r>
      <w:r w:rsidR="00731A06">
        <w:rPr>
          <w:rFonts w:ascii="Times New Roman" w:hAnsi="Times New Roman" w:cs="Times New Roman"/>
          <w:sz w:val="24"/>
          <w:szCs w:val="24"/>
          <w:lang w:val="en-US"/>
        </w:rPr>
        <w:t>–</w:t>
      </w:r>
      <w:r w:rsidRPr="00F17126">
        <w:rPr>
          <w:rFonts w:ascii="Times New Roman" w:hAnsi="Times New Roman" w:cs="Times New Roman"/>
          <w:sz w:val="24"/>
          <w:szCs w:val="24"/>
          <w:lang w:val="en-US"/>
        </w:rPr>
        <w:t>South divide, and the importance of adopting a bottom-up approach to global climate governance in boosting participation (Brun</w:t>
      </w:r>
      <w:r w:rsidR="004440E2"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2016). </w:t>
      </w:r>
      <w:r w:rsidR="00937F01" w:rsidRPr="00F17126">
        <w:rPr>
          <w:rFonts w:ascii="Times New Roman" w:hAnsi="Times New Roman" w:cs="Times New Roman"/>
          <w:sz w:val="24"/>
          <w:szCs w:val="24"/>
          <w:lang w:val="en-US"/>
        </w:rPr>
        <w:t xml:space="preserve">Another study </w:t>
      </w:r>
      <w:r w:rsidR="00871B4F" w:rsidRPr="00F17126">
        <w:rPr>
          <w:rFonts w:ascii="Times New Roman" w:hAnsi="Times New Roman" w:cs="Times New Roman"/>
          <w:sz w:val="24"/>
          <w:szCs w:val="24"/>
          <w:lang w:val="en-US"/>
        </w:rPr>
        <w:t>highlight</w:t>
      </w:r>
      <w:r w:rsidR="00937F01" w:rsidRPr="00F17126">
        <w:rPr>
          <w:rFonts w:ascii="Times New Roman" w:hAnsi="Times New Roman" w:cs="Times New Roman"/>
          <w:sz w:val="24"/>
          <w:szCs w:val="24"/>
          <w:lang w:val="en-US"/>
        </w:rPr>
        <w:t>s process variables</w:t>
      </w:r>
      <w:r w:rsidR="00871B4F" w:rsidRPr="00F17126">
        <w:rPr>
          <w:rFonts w:ascii="Times New Roman" w:hAnsi="Times New Roman" w:cs="Times New Roman"/>
          <w:sz w:val="24"/>
          <w:szCs w:val="24"/>
          <w:lang w:val="en-US"/>
        </w:rPr>
        <w:t>,</w:t>
      </w:r>
      <w:r w:rsidR="00937F01" w:rsidRPr="00F17126">
        <w:rPr>
          <w:rFonts w:ascii="Times New Roman" w:hAnsi="Times New Roman" w:cs="Times New Roman"/>
          <w:sz w:val="24"/>
          <w:szCs w:val="24"/>
          <w:lang w:val="en-US"/>
        </w:rPr>
        <w:t xml:space="preserve"> such as negotiating strategy and organizational tactics. It argues that negotiations succeeded becaus</w:t>
      </w:r>
      <w:r w:rsidR="00871B4F" w:rsidRPr="00F17126">
        <w:rPr>
          <w:rFonts w:ascii="Times New Roman" w:hAnsi="Times New Roman" w:cs="Times New Roman"/>
          <w:sz w:val="24"/>
          <w:szCs w:val="24"/>
          <w:lang w:val="en-US"/>
        </w:rPr>
        <w:t>e of the skilled use of secrecy,</w:t>
      </w:r>
      <w:r w:rsidR="00937F01" w:rsidRPr="00F17126">
        <w:rPr>
          <w:rFonts w:ascii="Times New Roman" w:hAnsi="Times New Roman" w:cs="Times New Roman"/>
          <w:sz w:val="24"/>
          <w:szCs w:val="24"/>
          <w:lang w:val="en-US"/>
        </w:rPr>
        <w:t xml:space="preserve"> entrepreneurial leadership</w:t>
      </w:r>
      <w:r w:rsidR="00871B4F" w:rsidRPr="00F17126">
        <w:rPr>
          <w:rFonts w:ascii="Times New Roman" w:hAnsi="Times New Roman" w:cs="Times New Roman"/>
          <w:sz w:val="24"/>
          <w:szCs w:val="24"/>
          <w:lang w:val="en-US"/>
        </w:rPr>
        <w:t>,</w:t>
      </w:r>
      <w:r w:rsidR="00937F01" w:rsidRPr="00F17126">
        <w:rPr>
          <w:rFonts w:ascii="Times New Roman" w:hAnsi="Times New Roman" w:cs="Times New Roman"/>
          <w:sz w:val="24"/>
          <w:szCs w:val="24"/>
          <w:lang w:val="en-US"/>
        </w:rPr>
        <w:t xml:space="preserve"> </w:t>
      </w:r>
      <w:r w:rsidR="00871B4F" w:rsidRPr="00F17126">
        <w:rPr>
          <w:rFonts w:ascii="Times New Roman" w:hAnsi="Times New Roman" w:cs="Times New Roman"/>
          <w:sz w:val="24"/>
          <w:szCs w:val="24"/>
          <w:lang w:val="en-US"/>
        </w:rPr>
        <w:t>and superb organizational tactics by</w:t>
      </w:r>
      <w:r w:rsidR="00937F01" w:rsidRPr="00F17126">
        <w:rPr>
          <w:rFonts w:ascii="Times New Roman" w:hAnsi="Times New Roman" w:cs="Times New Roman"/>
          <w:sz w:val="24"/>
          <w:szCs w:val="24"/>
          <w:lang w:val="en-US"/>
        </w:rPr>
        <w:t xml:space="preserve"> the French government</w:t>
      </w:r>
      <w:r w:rsidR="00871B4F" w:rsidRPr="00F17126">
        <w:rPr>
          <w:rFonts w:ascii="Times New Roman" w:hAnsi="Times New Roman" w:cs="Times New Roman"/>
          <w:sz w:val="24"/>
          <w:szCs w:val="24"/>
          <w:lang w:val="en-US"/>
        </w:rPr>
        <w:t xml:space="preserve">, together with </w:t>
      </w:r>
      <w:r w:rsidR="00937F01" w:rsidRPr="00F17126">
        <w:rPr>
          <w:rFonts w:ascii="Times New Roman" w:hAnsi="Times New Roman" w:cs="Times New Roman"/>
          <w:sz w:val="24"/>
          <w:szCs w:val="24"/>
          <w:lang w:val="en-US"/>
        </w:rPr>
        <w:t xml:space="preserve">persuasive argumentation by the </w:t>
      </w:r>
      <w:r w:rsidR="008F7F61">
        <w:rPr>
          <w:rFonts w:ascii="Times New Roman" w:hAnsi="Times New Roman" w:cs="Times New Roman"/>
          <w:sz w:val="24"/>
          <w:szCs w:val="24"/>
          <w:lang w:val="en-US"/>
        </w:rPr>
        <w:t>European Union</w:t>
      </w:r>
      <w:r w:rsidR="00937F01" w:rsidRPr="00F17126">
        <w:rPr>
          <w:rFonts w:ascii="Times New Roman" w:hAnsi="Times New Roman" w:cs="Times New Roman"/>
          <w:sz w:val="24"/>
          <w:szCs w:val="24"/>
          <w:lang w:val="en-US"/>
        </w:rPr>
        <w:t xml:space="preserve"> and island states that altered policy preferences, changed actors’ minds about the wisdom of climate policy, and facilitated social learning (Dimitrov</w:t>
      </w:r>
      <w:r w:rsidR="00871B4F" w:rsidRPr="00F17126">
        <w:rPr>
          <w:rFonts w:ascii="Times New Roman" w:hAnsi="Times New Roman" w:cs="Times New Roman"/>
          <w:sz w:val="24"/>
          <w:szCs w:val="24"/>
          <w:lang w:val="en-US"/>
        </w:rPr>
        <w:t>,</w:t>
      </w:r>
      <w:r w:rsidR="00937F01" w:rsidRPr="00F17126">
        <w:rPr>
          <w:rFonts w:ascii="Times New Roman" w:hAnsi="Times New Roman" w:cs="Times New Roman"/>
          <w:sz w:val="24"/>
          <w:szCs w:val="24"/>
          <w:lang w:val="en-US"/>
        </w:rPr>
        <w:t xml:space="preserve"> 2016). </w:t>
      </w:r>
      <w:r w:rsidRPr="00F17126">
        <w:rPr>
          <w:rFonts w:ascii="Times New Roman" w:hAnsi="Times New Roman" w:cs="Times New Roman"/>
          <w:sz w:val="24"/>
          <w:szCs w:val="24"/>
          <w:lang w:val="en-US"/>
        </w:rPr>
        <w:t xml:space="preserve">A more widely shared perspective is compatible with realism and concerns the pivotal role of the </w:t>
      </w:r>
      <w:r w:rsidR="008F7F61">
        <w:rPr>
          <w:rFonts w:ascii="Times New Roman" w:hAnsi="Times New Roman" w:cs="Times New Roman"/>
          <w:sz w:val="24"/>
          <w:szCs w:val="24"/>
          <w:lang w:val="en-US"/>
        </w:rPr>
        <w:t>United States</w:t>
      </w:r>
      <w:r w:rsidRPr="00F17126">
        <w:rPr>
          <w:rFonts w:ascii="Times New Roman" w:hAnsi="Times New Roman" w:cs="Times New Roman"/>
          <w:sz w:val="24"/>
          <w:szCs w:val="24"/>
          <w:lang w:val="en-US"/>
        </w:rPr>
        <w:t xml:space="preserve">. Most insider and outsider observers agree that the PA satisfies most US policy preferences </w:t>
      </w:r>
      <w:r w:rsidR="00871B4F" w:rsidRPr="00F17126">
        <w:rPr>
          <w:rFonts w:ascii="Times New Roman" w:hAnsi="Times New Roman" w:cs="Times New Roman"/>
          <w:sz w:val="24"/>
          <w:szCs w:val="24"/>
          <w:lang w:val="en-US"/>
        </w:rPr>
        <w:t>under the Obama administration</w:t>
      </w:r>
      <w:r w:rsidRPr="00F17126">
        <w:rPr>
          <w:rFonts w:ascii="Times New Roman" w:hAnsi="Times New Roman" w:cs="Times New Roman"/>
          <w:sz w:val="24"/>
          <w:szCs w:val="24"/>
          <w:lang w:val="en-US"/>
        </w:rPr>
        <w:t xml:space="preserve"> (see above).  </w:t>
      </w:r>
    </w:p>
    <w:p w14:paraId="3995D883" w14:textId="77777777" w:rsidR="009C5941" w:rsidRPr="00F17126" w:rsidRDefault="009C5941" w:rsidP="009C477E">
      <w:pPr>
        <w:spacing w:after="120" w:line="360" w:lineRule="auto"/>
        <w:rPr>
          <w:rFonts w:ascii="Times New Roman" w:hAnsi="Times New Roman" w:cs="Times New Roman"/>
          <w:b/>
          <w:sz w:val="24"/>
          <w:szCs w:val="24"/>
          <w:lang w:val="en-US"/>
        </w:rPr>
      </w:pPr>
    </w:p>
    <w:p w14:paraId="449FE139" w14:textId="77777777" w:rsidR="000115C7" w:rsidRPr="00F17126" w:rsidRDefault="00BF7FC4" w:rsidP="009C477E">
      <w:pPr>
        <w:spacing w:line="360" w:lineRule="auto"/>
        <w:rPr>
          <w:rFonts w:ascii="Times New Roman" w:hAnsi="Times New Roman" w:cs="Times New Roman"/>
          <w:b/>
          <w:sz w:val="24"/>
          <w:szCs w:val="24"/>
          <w:lang w:val="en-US"/>
        </w:rPr>
      </w:pPr>
      <w:r w:rsidRPr="00F17126">
        <w:rPr>
          <w:rFonts w:ascii="Times New Roman" w:hAnsi="Times New Roman" w:cs="Times New Roman"/>
          <w:b/>
          <w:sz w:val="24"/>
          <w:szCs w:val="24"/>
          <w:lang w:val="en-US"/>
        </w:rPr>
        <w:t>8</w:t>
      </w:r>
      <w:r w:rsidR="000115C7" w:rsidRPr="00F17126">
        <w:rPr>
          <w:rFonts w:ascii="Times New Roman" w:hAnsi="Times New Roman" w:cs="Times New Roman"/>
          <w:b/>
          <w:sz w:val="24"/>
          <w:szCs w:val="24"/>
          <w:lang w:val="en-US"/>
        </w:rPr>
        <w:t>. Conclusions</w:t>
      </w:r>
    </w:p>
    <w:p w14:paraId="4490140F" w14:textId="4C11B3F5" w:rsidR="00FA4F60" w:rsidRPr="00F17126" w:rsidRDefault="005C1D57" w:rsidP="00FA4F6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According to</w:t>
      </w:r>
      <w:r w:rsidR="00FA4F60" w:rsidRPr="00F17126">
        <w:rPr>
          <w:rFonts w:ascii="Times New Roman" w:hAnsi="Times New Roman" w:cs="Times New Roman"/>
          <w:sz w:val="24"/>
          <w:szCs w:val="24"/>
          <w:lang w:val="en-US"/>
        </w:rPr>
        <w:t xml:space="preserve"> our review of literature on the </w:t>
      </w:r>
      <w:r w:rsidR="00820E85" w:rsidRPr="00F17126">
        <w:rPr>
          <w:rFonts w:ascii="Times New Roman" w:hAnsi="Times New Roman" w:cs="Times New Roman"/>
          <w:sz w:val="24"/>
          <w:szCs w:val="24"/>
          <w:lang w:val="en-US"/>
        </w:rPr>
        <w:t>PA</w:t>
      </w:r>
      <w:r w:rsidR="00FA4F60" w:rsidRPr="00F17126">
        <w:rPr>
          <w:rFonts w:ascii="Times New Roman" w:hAnsi="Times New Roman" w:cs="Times New Roman"/>
          <w:sz w:val="24"/>
          <w:szCs w:val="24"/>
          <w:lang w:val="en-US"/>
        </w:rPr>
        <w:t xml:space="preserve">, at least </w:t>
      </w:r>
      <w:r w:rsidR="00BF1E21" w:rsidRPr="00F17126">
        <w:rPr>
          <w:rFonts w:ascii="Times New Roman" w:hAnsi="Times New Roman" w:cs="Times New Roman"/>
          <w:sz w:val="24"/>
          <w:szCs w:val="24"/>
          <w:lang w:val="en-US"/>
        </w:rPr>
        <w:t>seven</w:t>
      </w:r>
      <w:r w:rsidR="00FA4F60" w:rsidRPr="00F17126">
        <w:rPr>
          <w:rFonts w:ascii="Times New Roman" w:hAnsi="Times New Roman" w:cs="Times New Roman"/>
          <w:sz w:val="24"/>
          <w:szCs w:val="24"/>
          <w:lang w:val="en-US"/>
        </w:rPr>
        <w:t xml:space="preserve"> main conclusions may be drawn:</w:t>
      </w:r>
    </w:p>
    <w:p w14:paraId="665E60CF" w14:textId="72308017" w:rsidR="00FA4F60" w:rsidRPr="00F17126" w:rsidRDefault="00FA4F60" w:rsidP="00FA4F60">
      <w:pPr>
        <w:spacing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First, a near consensus </w:t>
      </w:r>
      <w:r w:rsidR="00D465AF" w:rsidRPr="00F17126">
        <w:rPr>
          <w:rFonts w:ascii="Times New Roman" w:hAnsi="Times New Roman" w:cs="Times New Roman"/>
          <w:sz w:val="24"/>
          <w:szCs w:val="24"/>
          <w:lang w:val="en-US"/>
        </w:rPr>
        <w:t xml:space="preserve">appears to exist </w:t>
      </w:r>
      <w:r w:rsidRPr="00F17126">
        <w:rPr>
          <w:rFonts w:ascii="Times New Roman" w:hAnsi="Times New Roman" w:cs="Times New Roman"/>
          <w:sz w:val="24"/>
          <w:szCs w:val="24"/>
          <w:lang w:val="en-US"/>
        </w:rPr>
        <w:t xml:space="preserve">that the PA has the </w:t>
      </w:r>
      <w:r w:rsidRPr="00F17126">
        <w:rPr>
          <w:rFonts w:ascii="Times New Roman" w:hAnsi="Times New Roman" w:cs="Times New Roman"/>
          <w:i/>
          <w:sz w:val="24"/>
          <w:szCs w:val="24"/>
          <w:lang w:val="en-US"/>
        </w:rPr>
        <w:t>potential</w:t>
      </w:r>
      <w:r w:rsidRPr="00F17126">
        <w:rPr>
          <w:rFonts w:ascii="Times New Roman" w:hAnsi="Times New Roman" w:cs="Times New Roman"/>
          <w:sz w:val="24"/>
          <w:szCs w:val="24"/>
          <w:lang w:val="en-US"/>
        </w:rPr>
        <w:t xml:space="preserve"> to deliver. Practitioners and scholars alike </w:t>
      </w:r>
      <w:r w:rsidR="00CA0F6D">
        <w:rPr>
          <w:rFonts w:ascii="Times New Roman" w:hAnsi="Times New Roman" w:cs="Times New Roman"/>
          <w:sz w:val="24"/>
          <w:szCs w:val="24"/>
          <w:lang w:val="en-US"/>
        </w:rPr>
        <w:t>seemingly</w:t>
      </w:r>
      <w:r w:rsidRPr="00F17126">
        <w:rPr>
          <w:rFonts w:ascii="Times New Roman" w:hAnsi="Times New Roman" w:cs="Times New Roman"/>
          <w:sz w:val="24"/>
          <w:szCs w:val="24"/>
          <w:lang w:val="en-US"/>
        </w:rPr>
        <w:t xml:space="preserve"> agree that it is a complex </w:t>
      </w:r>
      <w:r w:rsidR="00820E85" w:rsidRPr="00F17126">
        <w:rPr>
          <w:rFonts w:ascii="Times New Roman" w:hAnsi="Times New Roman" w:cs="Times New Roman"/>
          <w:sz w:val="24"/>
          <w:szCs w:val="24"/>
          <w:lang w:val="en-US"/>
        </w:rPr>
        <w:t>ye</w:t>
      </w:r>
      <w:r w:rsidRPr="00F17126">
        <w:rPr>
          <w:rFonts w:ascii="Times New Roman" w:hAnsi="Times New Roman" w:cs="Times New Roman"/>
          <w:sz w:val="24"/>
          <w:szCs w:val="24"/>
          <w:lang w:val="en-US"/>
        </w:rPr>
        <w:t>t significant agreement that cannot simply be dismissed as irrelevant.</w:t>
      </w:r>
    </w:p>
    <w:p w14:paraId="4DB4CB7A" w14:textId="1D3966B0" w:rsidR="00FA4F60" w:rsidRPr="00F17126" w:rsidRDefault="00871B4F" w:rsidP="00FA4F60">
      <w:pPr>
        <w:spacing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Second </w:t>
      </w:r>
      <w:r w:rsidR="00FA4F60" w:rsidRPr="00F17126">
        <w:rPr>
          <w:rFonts w:ascii="Times New Roman" w:hAnsi="Times New Roman" w:cs="Times New Roman"/>
          <w:sz w:val="24"/>
          <w:szCs w:val="24"/>
          <w:lang w:val="en-US"/>
        </w:rPr>
        <w:t xml:space="preserve">and perhaps unsurprisingly, inside observers are generally more optimistic about prospects for success than outside observers are. </w:t>
      </w:r>
      <w:r w:rsidR="00CA0F6D">
        <w:rPr>
          <w:rFonts w:ascii="Times New Roman" w:hAnsi="Times New Roman" w:cs="Times New Roman"/>
          <w:sz w:val="24"/>
          <w:szCs w:val="24"/>
          <w:lang w:val="en-US"/>
        </w:rPr>
        <w:t>A</w:t>
      </w:r>
      <w:r w:rsidR="00FA4F60" w:rsidRPr="00F17126">
        <w:rPr>
          <w:rFonts w:ascii="Times New Roman" w:hAnsi="Times New Roman" w:cs="Times New Roman"/>
          <w:sz w:val="24"/>
          <w:szCs w:val="24"/>
          <w:lang w:val="en-US"/>
        </w:rPr>
        <w:t xml:space="preserve">nalyses by outside observers </w:t>
      </w:r>
      <w:r w:rsidR="00B76FF9" w:rsidRPr="00F17126">
        <w:rPr>
          <w:rFonts w:ascii="Times New Roman" w:hAnsi="Times New Roman" w:cs="Times New Roman"/>
          <w:sz w:val="24"/>
          <w:szCs w:val="24"/>
          <w:lang w:val="en-US"/>
        </w:rPr>
        <w:t>often</w:t>
      </w:r>
      <w:r w:rsidRPr="00F17126">
        <w:rPr>
          <w:rFonts w:ascii="Times New Roman" w:hAnsi="Times New Roman" w:cs="Times New Roman"/>
          <w:sz w:val="24"/>
          <w:szCs w:val="24"/>
          <w:lang w:val="en-US"/>
        </w:rPr>
        <w:t xml:space="preserve"> emphasize the agreement’s weaknesses</w:t>
      </w:r>
      <w:r w:rsidR="00FA4F60" w:rsidRPr="00F17126">
        <w:rPr>
          <w:rFonts w:ascii="Times New Roman" w:hAnsi="Times New Roman" w:cs="Times New Roman"/>
          <w:sz w:val="24"/>
          <w:szCs w:val="24"/>
          <w:lang w:val="en-US"/>
        </w:rPr>
        <w:t xml:space="preserve"> and theoretical expectations that its implementation will encounter considerable obstacles</w:t>
      </w:r>
      <w:r w:rsidRPr="00F17126">
        <w:rPr>
          <w:rFonts w:ascii="Times New Roman" w:hAnsi="Times New Roman" w:cs="Times New Roman"/>
          <w:sz w:val="24"/>
          <w:szCs w:val="24"/>
          <w:lang w:val="en-US"/>
        </w:rPr>
        <w:t>. I</w:t>
      </w:r>
      <w:r w:rsidR="00D465AF" w:rsidRPr="00F17126">
        <w:rPr>
          <w:rFonts w:ascii="Times New Roman" w:hAnsi="Times New Roman" w:cs="Times New Roman"/>
          <w:sz w:val="24"/>
          <w:szCs w:val="24"/>
          <w:lang w:val="en-US"/>
        </w:rPr>
        <w:t>n contrast,</w:t>
      </w:r>
      <w:r w:rsidR="00FA4F60" w:rsidRPr="00F17126">
        <w:rPr>
          <w:rFonts w:ascii="Times New Roman" w:hAnsi="Times New Roman" w:cs="Times New Roman"/>
          <w:sz w:val="24"/>
          <w:szCs w:val="24"/>
          <w:lang w:val="en-US"/>
        </w:rPr>
        <w:t xml:space="preserve"> academics </w:t>
      </w:r>
      <w:r w:rsidR="00D465AF" w:rsidRPr="00F17126">
        <w:rPr>
          <w:rFonts w:ascii="Times New Roman" w:hAnsi="Times New Roman" w:cs="Times New Roman"/>
          <w:sz w:val="24"/>
          <w:szCs w:val="24"/>
          <w:lang w:val="en-US"/>
        </w:rPr>
        <w:t>participating</w:t>
      </w:r>
      <w:r w:rsidR="00FA4F60" w:rsidRPr="00F17126">
        <w:rPr>
          <w:rFonts w:ascii="Times New Roman" w:hAnsi="Times New Roman" w:cs="Times New Roman"/>
          <w:sz w:val="24"/>
          <w:szCs w:val="24"/>
          <w:lang w:val="en-US"/>
        </w:rPr>
        <w:t xml:space="preserve"> in negotiations in and before Paris </w:t>
      </w:r>
      <w:r w:rsidRPr="00F17126">
        <w:rPr>
          <w:rFonts w:ascii="Times New Roman" w:hAnsi="Times New Roman" w:cs="Times New Roman"/>
          <w:sz w:val="24"/>
          <w:szCs w:val="24"/>
          <w:lang w:val="en-US"/>
        </w:rPr>
        <w:t xml:space="preserve">tend to </w:t>
      </w:r>
      <w:r w:rsidR="00FA4F60" w:rsidRPr="00F17126">
        <w:rPr>
          <w:rFonts w:ascii="Times New Roman" w:hAnsi="Times New Roman" w:cs="Times New Roman"/>
          <w:sz w:val="24"/>
          <w:szCs w:val="24"/>
          <w:lang w:val="en-US"/>
        </w:rPr>
        <w:t xml:space="preserve">regard the PA as a breakthrough, </w:t>
      </w:r>
      <w:r w:rsidRPr="00F17126">
        <w:rPr>
          <w:rFonts w:ascii="Times New Roman" w:hAnsi="Times New Roman" w:cs="Times New Roman"/>
          <w:sz w:val="24"/>
          <w:szCs w:val="24"/>
          <w:lang w:val="en-US"/>
        </w:rPr>
        <w:t xml:space="preserve">to </w:t>
      </w:r>
      <w:r w:rsidR="00FA4F60" w:rsidRPr="00F17126">
        <w:rPr>
          <w:rFonts w:ascii="Times New Roman" w:hAnsi="Times New Roman" w:cs="Times New Roman"/>
          <w:sz w:val="24"/>
          <w:szCs w:val="24"/>
          <w:lang w:val="en-US"/>
        </w:rPr>
        <w:t>emphasiz</w:t>
      </w:r>
      <w:r w:rsidRPr="00F17126">
        <w:rPr>
          <w:rFonts w:ascii="Times New Roman" w:hAnsi="Times New Roman" w:cs="Times New Roman"/>
          <w:sz w:val="24"/>
          <w:szCs w:val="24"/>
          <w:lang w:val="en-US"/>
        </w:rPr>
        <w:t>e</w:t>
      </w:r>
      <w:r w:rsidR="00FA4F60" w:rsidRPr="00F17126">
        <w:rPr>
          <w:rFonts w:ascii="Times New Roman" w:hAnsi="Times New Roman" w:cs="Times New Roman"/>
          <w:sz w:val="24"/>
          <w:szCs w:val="24"/>
          <w:lang w:val="en-US"/>
        </w:rPr>
        <w:t xml:space="preserve"> its strengths, and </w:t>
      </w:r>
      <w:r w:rsidRPr="00F17126">
        <w:rPr>
          <w:rFonts w:ascii="Times New Roman" w:hAnsi="Times New Roman" w:cs="Times New Roman"/>
          <w:sz w:val="24"/>
          <w:szCs w:val="24"/>
          <w:lang w:val="en-US"/>
        </w:rPr>
        <w:t xml:space="preserve">to </w:t>
      </w:r>
      <w:r w:rsidR="00FA4F60" w:rsidRPr="00F17126">
        <w:rPr>
          <w:rFonts w:ascii="Times New Roman" w:hAnsi="Times New Roman" w:cs="Times New Roman"/>
          <w:sz w:val="24"/>
          <w:szCs w:val="24"/>
          <w:lang w:val="en-US"/>
        </w:rPr>
        <w:t xml:space="preserve">evaluate its prospects </w:t>
      </w:r>
      <w:r w:rsidR="00D465AF" w:rsidRPr="00F17126">
        <w:rPr>
          <w:rFonts w:ascii="Times New Roman" w:hAnsi="Times New Roman" w:cs="Times New Roman"/>
          <w:sz w:val="24"/>
          <w:szCs w:val="24"/>
          <w:lang w:val="en-US"/>
        </w:rPr>
        <w:t>favorab</w:t>
      </w:r>
      <w:r w:rsidR="00B76FF9" w:rsidRPr="00F17126">
        <w:rPr>
          <w:rFonts w:ascii="Times New Roman" w:hAnsi="Times New Roman" w:cs="Times New Roman"/>
          <w:sz w:val="24"/>
          <w:szCs w:val="24"/>
          <w:lang w:val="en-US"/>
        </w:rPr>
        <w:t>ly.</w:t>
      </w:r>
    </w:p>
    <w:p w14:paraId="32EB7C4D" w14:textId="2C4C5C1C" w:rsidR="00BF1E21" w:rsidRPr="00F17126" w:rsidRDefault="00FA4F60" w:rsidP="00820E85">
      <w:pPr>
        <w:spacing w:after="120"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Third, </w:t>
      </w:r>
      <w:r w:rsidR="00937F01" w:rsidRPr="00F17126">
        <w:rPr>
          <w:rFonts w:ascii="Times New Roman" w:hAnsi="Times New Roman" w:cs="Times New Roman"/>
          <w:sz w:val="24"/>
          <w:szCs w:val="24"/>
          <w:lang w:val="en-US"/>
        </w:rPr>
        <w:t>insiders and outsiders alike</w:t>
      </w:r>
      <w:r w:rsidRPr="00F17126">
        <w:rPr>
          <w:rFonts w:ascii="Times New Roman" w:hAnsi="Times New Roman" w:cs="Times New Roman"/>
          <w:sz w:val="24"/>
          <w:szCs w:val="24"/>
          <w:lang w:val="en-US"/>
        </w:rPr>
        <w:t xml:space="preserve"> emphasize there is no guarantee the PA will eventually deliver sufficient global emissions reductions to reach its collective temperature goals. </w:t>
      </w:r>
      <w:r w:rsidR="00CA0F6D">
        <w:rPr>
          <w:rFonts w:ascii="Times New Roman" w:hAnsi="Times New Roman" w:cs="Times New Roman"/>
          <w:sz w:val="24"/>
          <w:szCs w:val="24"/>
          <w:lang w:val="en-US"/>
        </w:rPr>
        <w:t>L</w:t>
      </w:r>
      <w:r w:rsidRPr="00F17126">
        <w:rPr>
          <w:rFonts w:ascii="Times New Roman" w:hAnsi="Times New Roman" w:cs="Times New Roman"/>
          <w:sz w:val="24"/>
          <w:szCs w:val="24"/>
          <w:lang w:val="en-US"/>
        </w:rPr>
        <w:t xml:space="preserve">egal complexities of the agreement and uncertainties about global and domestic socioeconomic developments make the </w:t>
      </w:r>
      <w:r w:rsidR="00B76FF9" w:rsidRPr="00F17126">
        <w:rPr>
          <w:rFonts w:ascii="Times New Roman" w:hAnsi="Times New Roman" w:cs="Times New Roman"/>
          <w:sz w:val="24"/>
          <w:szCs w:val="24"/>
          <w:lang w:val="en-US"/>
        </w:rPr>
        <w:t>long-</w:t>
      </w:r>
      <w:r w:rsidR="00511D7A" w:rsidRPr="00F17126">
        <w:rPr>
          <w:rFonts w:ascii="Times New Roman" w:hAnsi="Times New Roman" w:cs="Times New Roman"/>
          <w:sz w:val="24"/>
          <w:szCs w:val="24"/>
          <w:lang w:val="en-US"/>
        </w:rPr>
        <w:t xml:space="preserve">term </w:t>
      </w:r>
      <w:r w:rsidRPr="00F17126">
        <w:rPr>
          <w:rFonts w:ascii="Times New Roman" w:hAnsi="Times New Roman" w:cs="Times New Roman"/>
          <w:sz w:val="24"/>
          <w:szCs w:val="24"/>
          <w:lang w:val="en-US"/>
        </w:rPr>
        <w:t xml:space="preserve">impact of the PA highly contingent. </w:t>
      </w:r>
    </w:p>
    <w:p w14:paraId="05E79794" w14:textId="048C6B3F" w:rsidR="00820E85" w:rsidRPr="00F17126" w:rsidRDefault="00BF1E21" w:rsidP="00BF1E21">
      <w:pPr>
        <w:spacing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Fourth, serious reasons for skepticism exist, which is unsurprising </w:t>
      </w:r>
      <w:r w:rsidR="00CA0F6D" w:rsidRPr="00F17126">
        <w:rPr>
          <w:rFonts w:ascii="Times New Roman" w:hAnsi="Times New Roman" w:cs="Times New Roman"/>
          <w:sz w:val="24"/>
          <w:szCs w:val="24"/>
          <w:lang w:val="en-US"/>
        </w:rPr>
        <w:t>considering</w:t>
      </w:r>
      <w:r w:rsidRPr="00F17126">
        <w:rPr>
          <w:rFonts w:ascii="Times New Roman" w:hAnsi="Times New Roman" w:cs="Times New Roman"/>
          <w:sz w:val="24"/>
          <w:szCs w:val="24"/>
          <w:lang w:val="en-US"/>
        </w:rPr>
        <w:t xml:space="preserve"> the trilemma outlined in section 3. </w:t>
      </w:r>
      <w:r w:rsidR="00CA0F6D">
        <w:rPr>
          <w:rFonts w:ascii="Times New Roman" w:hAnsi="Times New Roman" w:cs="Times New Roman"/>
          <w:sz w:val="24"/>
          <w:szCs w:val="24"/>
          <w:lang w:val="en-US"/>
        </w:rPr>
        <w:t>Because</w:t>
      </w:r>
      <w:r w:rsidRPr="00F17126">
        <w:rPr>
          <w:rFonts w:ascii="Times New Roman" w:hAnsi="Times New Roman" w:cs="Times New Roman"/>
          <w:sz w:val="24"/>
          <w:szCs w:val="24"/>
          <w:lang w:val="en-US"/>
        </w:rPr>
        <w:t xml:space="preserve"> participation in the PA is expected to remain broad, the </w:t>
      </w:r>
      <w:r w:rsidR="00CA0F6D">
        <w:rPr>
          <w:rFonts w:ascii="Times New Roman" w:hAnsi="Times New Roman" w:cs="Times New Roman"/>
          <w:sz w:val="24"/>
          <w:szCs w:val="24"/>
          <w:lang w:val="en-US"/>
        </w:rPr>
        <w:t>major</w:t>
      </w:r>
      <w:r w:rsidR="00CA0F6D"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 xml:space="preserve">challenge for long-term effectiveness will likely be to facilitate fast ratcheting-up of NDC ambition, while keeping compliance rates high. </w:t>
      </w:r>
      <w:r w:rsidR="00FA4F60" w:rsidRPr="00F17126">
        <w:rPr>
          <w:rFonts w:ascii="Times New Roman" w:hAnsi="Times New Roman" w:cs="Times New Roman"/>
          <w:sz w:val="24"/>
          <w:szCs w:val="24"/>
          <w:lang w:val="en-US"/>
        </w:rPr>
        <w:t xml:space="preserve">An essential factor will be the extent to which </w:t>
      </w:r>
      <w:r w:rsidRPr="00F17126">
        <w:rPr>
          <w:rFonts w:ascii="Times New Roman" w:hAnsi="Times New Roman" w:cs="Times New Roman"/>
          <w:sz w:val="24"/>
          <w:szCs w:val="24"/>
          <w:lang w:val="en-US"/>
        </w:rPr>
        <w:t>enthusiastic c</w:t>
      </w:r>
      <w:r w:rsidR="00FA4F60" w:rsidRPr="00F17126">
        <w:rPr>
          <w:rFonts w:ascii="Times New Roman" w:hAnsi="Times New Roman" w:cs="Times New Roman"/>
          <w:sz w:val="24"/>
          <w:szCs w:val="24"/>
          <w:lang w:val="en-US"/>
        </w:rPr>
        <w:t xml:space="preserve">ountries </w:t>
      </w:r>
      <w:r w:rsidR="00D61788">
        <w:rPr>
          <w:rFonts w:ascii="Times New Roman" w:hAnsi="Times New Roman" w:cs="Times New Roman"/>
          <w:sz w:val="24"/>
          <w:szCs w:val="24"/>
          <w:lang w:val="en-US"/>
        </w:rPr>
        <w:t>can</w:t>
      </w:r>
      <w:r w:rsidR="00FA4F60" w:rsidRPr="00F17126">
        <w:rPr>
          <w:rFonts w:ascii="Times New Roman" w:hAnsi="Times New Roman" w:cs="Times New Roman"/>
          <w:sz w:val="24"/>
          <w:szCs w:val="24"/>
          <w:lang w:val="en-US"/>
        </w:rPr>
        <w:t xml:space="preserve"> inspire others to follow suit.</w:t>
      </w:r>
      <w:r w:rsidR="008A702C" w:rsidRPr="00F17126">
        <w:rPr>
          <w:rFonts w:ascii="Times New Roman" w:hAnsi="Times New Roman" w:cs="Times New Roman"/>
          <w:sz w:val="24"/>
          <w:szCs w:val="24"/>
          <w:lang w:val="en-US"/>
        </w:rPr>
        <w:t xml:space="preserve"> </w:t>
      </w:r>
      <w:r w:rsidR="00B76FF9" w:rsidRPr="00F17126">
        <w:rPr>
          <w:rFonts w:ascii="Times New Roman" w:hAnsi="Times New Roman" w:cs="Times New Roman"/>
          <w:sz w:val="24"/>
          <w:szCs w:val="24"/>
          <w:lang w:val="en-US"/>
        </w:rPr>
        <w:t>Both NDC ambition and c</w:t>
      </w:r>
      <w:r w:rsidR="00820E85" w:rsidRPr="00F17126">
        <w:rPr>
          <w:rFonts w:ascii="Times New Roman" w:hAnsi="Times New Roman" w:cs="Times New Roman"/>
          <w:sz w:val="24"/>
          <w:szCs w:val="24"/>
          <w:lang w:val="en-US"/>
        </w:rPr>
        <w:t xml:space="preserve">ompliance levels will arguably be determined through a struggle between, on one hand, forces wanting to continue </w:t>
      </w:r>
      <w:r w:rsidR="00CA0F6D">
        <w:rPr>
          <w:rFonts w:ascii="Times New Roman" w:hAnsi="Times New Roman" w:cs="Times New Roman"/>
          <w:sz w:val="24"/>
          <w:szCs w:val="24"/>
          <w:lang w:val="en-US"/>
        </w:rPr>
        <w:t>producing and using</w:t>
      </w:r>
      <w:r w:rsidR="00820E85" w:rsidRPr="00F17126">
        <w:rPr>
          <w:rFonts w:ascii="Times New Roman" w:hAnsi="Times New Roman" w:cs="Times New Roman"/>
          <w:sz w:val="24"/>
          <w:szCs w:val="24"/>
          <w:lang w:val="en-US"/>
        </w:rPr>
        <w:t xml:space="preserve"> fossil fuels more or less as usual and, on the other hand, emerging international norms to reduce emissions</w:t>
      </w:r>
      <w:r w:rsidR="00B76FF9" w:rsidRPr="00F17126">
        <w:rPr>
          <w:rFonts w:ascii="Times New Roman" w:hAnsi="Times New Roman" w:cs="Times New Roman"/>
          <w:sz w:val="24"/>
          <w:szCs w:val="24"/>
          <w:lang w:val="en-US"/>
        </w:rPr>
        <w:t xml:space="preserve">, sustained </w:t>
      </w:r>
      <w:r w:rsidR="00820E85" w:rsidRPr="00F17126">
        <w:rPr>
          <w:rFonts w:ascii="Times New Roman" w:hAnsi="Times New Roman" w:cs="Times New Roman"/>
          <w:sz w:val="24"/>
          <w:szCs w:val="24"/>
          <w:lang w:val="en-US"/>
        </w:rPr>
        <w:t xml:space="preserve">by </w:t>
      </w:r>
      <w:r w:rsidR="00511D7A" w:rsidRPr="00F17126">
        <w:rPr>
          <w:rFonts w:ascii="Times New Roman" w:hAnsi="Times New Roman" w:cs="Times New Roman"/>
          <w:sz w:val="24"/>
          <w:szCs w:val="24"/>
          <w:lang w:val="en-US"/>
        </w:rPr>
        <w:t>peer pressure</w:t>
      </w:r>
      <w:r w:rsidR="00820E85" w:rsidRPr="00F17126">
        <w:rPr>
          <w:rFonts w:ascii="Times New Roman" w:hAnsi="Times New Roman" w:cs="Times New Roman"/>
          <w:sz w:val="24"/>
          <w:szCs w:val="24"/>
          <w:lang w:val="en-US"/>
        </w:rPr>
        <w:t xml:space="preserve"> from green NGOs and from fast-growing industries producing clean energy.</w:t>
      </w:r>
      <w:r w:rsidR="00544D8A" w:rsidRPr="00820E85">
        <w:rPr>
          <w:rStyle w:val="FootnoteReference"/>
          <w:rFonts w:ascii="Times New Roman" w:hAnsi="Times New Roman" w:cs="Times New Roman"/>
          <w:sz w:val="24"/>
          <w:szCs w:val="24"/>
          <w:lang w:val="en-US"/>
        </w:rPr>
        <w:footnoteReference w:id="9"/>
      </w:r>
      <w:r w:rsidR="00544D8A" w:rsidRPr="0009104A">
        <w:rPr>
          <w:rFonts w:ascii="Times New Roman" w:hAnsi="Times New Roman" w:cs="Times New Roman"/>
          <w:sz w:val="24"/>
          <w:szCs w:val="24"/>
          <w:lang w:val="en-US"/>
        </w:rPr>
        <w:t xml:space="preserve"> </w:t>
      </w:r>
      <w:r w:rsidR="00820E85" w:rsidRPr="00F17126">
        <w:rPr>
          <w:rFonts w:ascii="Times New Roman" w:hAnsi="Times New Roman" w:cs="Times New Roman"/>
          <w:sz w:val="24"/>
          <w:szCs w:val="24"/>
          <w:lang w:val="en-US"/>
        </w:rPr>
        <w:t xml:space="preserve"> </w:t>
      </w:r>
      <w:r w:rsidR="00820E85" w:rsidRPr="00F17126">
        <w:rPr>
          <w:rFonts w:ascii="Times New Roman" w:eastAsia="Calibri" w:hAnsi="Times New Roman" w:cs="Times New Roman"/>
          <w:sz w:val="24"/>
          <w:szCs w:val="24"/>
          <w:lang w:val="en-US"/>
        </w:rPr>
        <w:t xml:space="preserve">Some </w:t>
      </w:r>
      <w:r w:rsidR="00511D7A" w:rsidRPr="00F17126">
        <w:rPr>
          <w:rFonts w:ascii="Times New Roman" w:eastAsia="Calibri" w:hAnsi="Times New Roman" w:cs="Times New Roman"/>
          <w:sz w:val="24"/>
          <w:szCs w:val="24"/>
          <w:lang w:val="en-US"/>
        </w:rPr>
        <w:t>observer</w:t>
      </w:r>
      <w:r w:rsidR="00820E85" w:rsidRPr="00F17126">
        <w:rPr>
          <w:rFonts w:ascii="Times New Roman" w:eastAsia="Calibri" w:hAnsi="Times New Roman" w:cs="Times New Roman"/>
          <w:sz w:val="24"/>
          <w:szCs w:val="24"/>
          <w:lang w:val="en-US"/>
        </w:rPr>
        <w:t xml:space="preserve">s note that the outlook depends on the outcome of ongoing negotiations on the Paris “rulebook” (e.g., Falkner, 2016; Winkler, 2017). </w:t>
      </w:r>
      <w:r w:rsidR="00B76FF9" w:rsidRPr="00F17126">
        <w:rPr>
          <w:rFonts w:ascii="Times New Roman" w:eastAsia="Calibri" w:hAnsi="Times New Roman" w:cs="Times New Roman"/>
          <w:sz w:val="24"/>
          <w:szCs w:val="24"/>
          <w:lang w:val="en-US"/>
        </w:rPr>
        <w:t xml:space="preserve">Indeed, </w:t>
      </w:r>
      <w:r w:rsidR="00820E85" w:rsidRPr="00F17126">
        <w:rPr>
          <w:rFonts w:ascii="Times New Roman" w:eastAsia="Calibri" w:hAnsi="Times New Roman" w:cs="Times New Roman"/>
          <w:sz w:val="24"/>
          <w:szCs w:val="24"/>
          <w:lang w:val="en-US"/>
        </w:rPr>
        <w:t xml:space="preserve">Victor and Oppenheimer (2016) warn that these negotiations may prove </w:t>
      </w:r>
      <w:r w:rsidR="00B76FF9" w:rsidRPr="00F17126">
        <w:rPr>
          <w:rFonts w:ascii="Times New Roman" w:eastAsia="Calibri" w:hAnsi="Times New Roman" w:cs="Times New Roman"/>
          <w:sz w:val="24"/>
          <w:szCs w:val="24"/>
          <w:lang w:val="en-US"/>
        </w:rPr>
        <w:t xml:space="preserve">even </w:t>
      </w:r>
      <w:r w:rsidR="00820E85" w:rsidRPr="00F17126">
        <w:rPr>
          <w:rFonts w:ascii="Times New Roman" w:eastAsia="Calibri" w:hAnsi="Times New Roman" w:cs="Times New Roman"/>
          <w:sz w:val="24"/>
          <w:szCs w:val="24"/>
          <w:lang w:val="en-US"/>
        </w:rPr>
        <w:t>more difficult than negotiating the PA</w:t>
      </w:r>
      <w:r w:rsidR="00B76FF9" w:rsidRPr="00F17126">
        <w:rPr>
          <w:rFonts w:ascii="Times New Roman" w:eastAsia="Calibri" w:hAnsi="Times New Roman" w:cs="Times New Roman"/>
          <w:sz w:val="24"/>
          <w:szCs w:val="24"/>
          <w:lang w:val="en-US"/>
        </w:rPr>
        <w:t xml:space="preserve"> itself. P</w:t>
      </w:r>
      <w:r w:rsidR="00820E85" w:rsidRPr="00F17126">
        <w:rPr>
          <w:rFonts w:ascii="Times New Roman" w:eastAsia="Calibri" w:hAnsi="Times New Roman" w:cs="Times New Roman"/>
          <w:sz w:val="24"/>
          <w:szCs w:val="24"/>
          <w:lang w:val="en-US"/>
        </w:rPr>
        <w:t>lac</w:t>
      </w:r>
      <w:r w:rsidR="00B76FF9" w:rsidRPr="00F17126">
        <w:rPr>
          <w:rFonts w:ascii="Times New Roman" w:eastAsia="Calibri" w:hAnsi="Times New Roman" w:cs="Times New Roman"/>
          <w:sz w:val="24"/>
          <w:szCs w:val="24"/>
          <w:lang w:val="en-US"/>
        </w:rPr>
        <w:t>ing</w:t>
      </w:r>
      <w:r w:rsidR="00820E85" w:rsidRPr="00F17126">
        <w:rPr>
          <w:rFonts w:ascii="Times New Roman" w:eastAsia="Calibri" w:hAnsi="Times New Roman" w:cs="Times New Roman"/>
          <w:sz w:val="24"/>
          <w:szCs w:val="24"/>
          <w:lang w:val="en-US"/>
        </w:rPr>
        <w:t xml:space="preserve"> only modest burdens on states</w:t>
      </w:r>
      <w:r w:rsidR="00B76FF9" w:rsidRPr="00F17126">
        <w:rPr>
          <w:rFonts w:ascii="Times New Roman" w:eastAsia="Calibri" w:hAnsi="Times New Roman" w:cs="Times New Roman"/>
          <w:sz w:val="24"/>
          <w:szCs w:val="24"/>
          <w:lang w:val="en-US"/>
        </w:rPr>
        <w:t xml:space="preserve"> and being vague on key points, the PA made </w:t>
      </w:r>
      <w:r w:rsidR="00820E85" w:rsidRPr="00F17126">
        <w:rPr>
          <w:rFonts w:ascii="Times New Roman" w:eastAsia="Calibri" w:hAnsi="Times New Roman" w:cs="Times New Roman"/>
          <w:sz w:val="24"/>
          <w:szCs w:val="24"/>
          <w:lang w:val="en-US"/>
        </w:rPr>
        <w:t xml:space="preserve">the cost of accession </w:t>
      </w:r>
      <w:r w:rsidR="007C7E85">
        <w:rPr>
          <w:rFonts w:ascii="Times New Roman" w:eastAsia="Calibri" w:hAnsi="Times New Roman" w:cs="Times New Roman"/>
          <w:sz w:val="24"/>
          <w:szCs w:val="24"/>
          <w:lang w:val="en-US"/>
        </w:rPr>
        <w:t>low and</w:t>
      </w:r>
      <w:r w:rsidR="00B76FF9" w:rsidRPr="00F17126">
        <w:rPr>
          <w:rFonts w:ascii="Times New Roman" w:eastAsia="Calibri" w:hAnsi="Times New Roman" w:cs="Times New Roman"/>
          <w:sz w:val="24"/>
          <w:szCs w:val="24"/>
          <w:lang w:val="en-US"/>
        </w:rPr>
        <w:t xml:space="preserve"> </w:t>
      </w:r>
      <w:r w:rsidR="00820E85" w:rsidRPr="00F17126">
        <w:rPr>
          <w:rFonts w:ascii="Times New Roman" w:eastAsia="Calibri" w:hAnsi="Times New Roman" w:cs="Times New Roman"/>
          <w:sz w:val="24"/>
          <w:szCs w:val="24"/>
          <w:lang w:val="en-US"/>
        </w:rPr>
        <w:t xml:space="preserve">the reputational cost of </w:t>
      </w:r>
      <w:r w:rsidR="00511D7A" w:rsidRPr="00F17126">
        <w:rPr>
          <w:rFonts w:ascii="Times New Roman" w:eastAsia="Calibri" w:hAnsi="Times New Roman" w:cs="Times New Roman"/>
          <w:sz w:val="24"/>
          <w:szCs w:val="24"/>
          <w:lang w:val="en-US"/>
        </w:rPr>
        <w:t>staying out</w:t>
      </w:r>
      <w:r w:rsidR="00820E85" w:rsidRPr="00F17126">
        <w:rPr>
          <w:rFonts w:ascii="Times New Roman" w:eastAsia="Calibri" w:hAnsi="Times New Roman" w:cs="Times New Roman"/>
          <w:sz w:val="24"/>
          <w:szCs w:val="24"/>
          <w:lang w:val="en-US"/>
        </w:rPr>
        <w:t xml:space="preserve"> high. Th</w:t>
      </w:r>
      <w:r w:rsidR="00B76FF9" w:rsidRPr="00F17126">
        <w:rPr>
          <w:rFonts w:ascii="Times New Roman" w:eastAsia="Calibri" w:hAnsi="Times New Roman" w:cs="Times New Roman"/>
          <w:sz w:val="24"/>
          <w:szCs w:val="24"/>
          <w:lang w:val="en-US"/>
        </w:rPr>
        <w:t>is</w:t>
      </w:r>
      <w:r w:rsidR="00820E85" w:rsidRPr="00F17126">
        <w:rPr>
          <w:rFonts w:ascii="Times New Roman" w:eastAsia="Calibri" w:hAnsi="Times New Roman" w:cs="Times New Roman"/>
          <w:sz w:val="24"/>
          <w:szCs w:val="24"/>
          <w:lang w:val="en-US"/>
        </w:rPr>
        <w:t xml:space="preserve"> logic </w:t>
      </w:r>
      <w:r w:rsidR="00B76FF9" w:rsidRPr="00F17126">
        <w:rPr>
          <w:rFonts w:ascii="Times New Roman" w:eastAsia="Calibri" w:hAnsi="Times New Roman" w:cs="Times New Roman"/>
          <w:sz w:val="24"/>
          <w:szCs w:val="24"/>
          <w:lang w:val="en-US"/>
        </w:rPr>
        <w:t>no longer</w:t>
      </w:r>
      <w:r w:rsidR="00820E85" w:rsidRPr="00F17126">
        <w:rPr>
          <w:rFonts w:ascii="Times New Roman" w:eastAsia="Calibri" w:hAnsi="Times New Roman" w:cs="Times New Roman"/>
          <w:sz w:val="24"/>
          <w:szCs w:val="24"/>
          <w:lang w:val="en-US"/>
        </w:rPr>
        <w:t xml:space="preserve"> appl</w:t>
      </w:r>
      <w:r w:rsidR="00B76FF9" w:rsidRPr="00F17126">
        <w:rPr>
          <w:rFonts w:ascii="Times New Roman" w:eastAsia="Calibri" w:hAnsi="Times New Roman" w:cs="Times New Roman"/>
          <w:sz w:val="24"/>
          <w:szCs w:val="24"/>
          <w:lang w:val="en-US"/>
        </w:rPr>
        <w:t>ies</w:t>
      </w:r>
      <w:r w:rsidR="00820E85" w:rsidRPr="00F17126">
        <w:rPr>
          <w:rFonts w:ascii="Times New Roman" w:eastAsia="Calibri" w:hAnsi="Times New Roman" w:cs="Times New Roman"/>
          <w:sz w:val="24"/>
          <w:szCs w:val="24"/>
          <w:lang w:val="en-US"/>
        </w:rPr>
        <w:t xml:space="preserve"> when countries </w:t>
      </w:r>
      <w:r w:rsidR="00820E85" w:rsidRPr="00F17126">
        <w:rPr>
          <w:rFonts w:ascii="Times New Roman" w:eastAsia="Calibri" w:hAnsi="Times New Roman" w:cs="Times New Roman"/>
          <w:sz w:val="24"/>
          <w:szCs w:val="24"/>
          <w:lang w:val="en-US"/>
        </w:rPr>
        <w:lastRenderedPageBreak/>
        <w:t xml:space="preserve">are to agree on details </w:t>
      </w:r>
      <w:r w:rsidR="00B76FF9" w:rsidRPr="00F17126">
        <w:rPr>
          <w:rFonts w:ascii="Times New Roman" w:eastAsia="Calibri" w:hAnsi="Times New Roman" w:cs="Times New Roman"/>
          <w:sz w:val="24"/>
          <w:szCs w:val="24"/>
          <w:lang w:val="en-US"/>
        </w:rPr>
        <w:t>concerning</w:t>
      </w:r>
      <w:r w:rsidR="00820E85" w:rsidRPr="00F17126">
        <w:rPr>
          <w:rFonts w:ascii="Times New Roman" w:eastAsia="Calibri" w:hAnsi="Times New Roman" w:cs="Times New Roman"/>
          <w:sz w:val="24"/>
          <w:szCs w:val="24"/>
          <w:lang w:val="en-US"/>
        </w:rPr>
        <w:t xml:space="preserve"> transparency and other elements crucial for ratcheting up ambition</w:t>
      </w:r>
      <w:r w:rsidR="00CA0F6D">
        <w:rPr>
          <w:rFonts w:ascii="Times New Roman" w:eastAsia="Calibri" w:hAnsi="Times New Roman" w:cs="Times New Roman"/>
          <w:sz w:val="24"/>
          <w:szCs w:val="24"/>
          <w:lang w:val="en-US"/>
        </w:rPr>
        <w:t xml:space="preserve">, because </w:t>
      </w:r>
      <w:r w:rsidR="00820E85" w:rsidRPr="00F17126">
        <w:rPr>
          <w:rFonts w:ascii="Times New Roman" w:eastAsia="Calibri" w:hAnsi="Times New Roman" w:cs="Times New Roman"/>
          <w:sz w:val="24"/>
          <w:szCs w:val="24"/>
          <w:lang w:val="en-US"/>
        </w:rPr>
        <w:t>these decisions will imply real costs for states.</w:t>
      </w:r>
    </w:p>
    <w:p w14:paraId="20AEC875" w14:textId="1CAACC07" w:rsidR="00820E85" w:rsidRPr="00F17126" w:rsidRDefault="00BF1E21" w:rsidP="00820E85">
      <w:pPr>
        <w:spacing w:after="120" w:line="360" w:lineRule="auto"/>
        <w:rPr>
          <w:rFonts w:ascii="Times New Roman" w:eastAsia="Calibri" w:hAnsi="Times New Roman" w:cs="Times New Roman"/>
          <w:sz w:val="24"/>
          <w:szCs w:val="24"/>
          <w:lang w:val="en-US"/>
        </w:rPr>
      </w:pPr>
      <w:r w:rsidRPr="00F17126">
        <w:rPr>
          <w:rFonts w:ascii="Times New Roman" w:eastAsia="Calibri" w:hAnsi="Times New Roman" w:cs="Times New Roman"/>
          <w:sz w:val="24"/>
          <w:szCs w:val="24"/>
          <w:lang w:val="en-US"/>
        </w:rPr>
        <w:t xml:space="preserve">Fifth, </w:t>
      </w:r>
      <w:r w:rsidR="00511D7A" w:rsidRPr="00F17126">
        <w:rPr>
          <w:rFonts w:ascii="Times New Roman" w:eastAsia="Calibri" w:hAnsi="Times New Roman" w:cs="Times New Roman"/>
          <w:sz w:val="24"/>
          <w:szCs w:val="24"/>
          <w:lang w:val="en-US"/>
        </w:rPr>
        <w:t>the literature</w:t>
      </w:r>
      <w:r w:rsidR="00820E85" w:rsidRPr="00F17126">
        <w:rPr>
          <w:rFonts w:ascii="Times New Roman" w:eastAsia="Calibri" w:hAnsi="Times New Roman" w:cs="Times New Roman"/>
          <w:sz w:val="24"/>
          <w:szCs w:val="24"/>
          <w:lang w:val="en-US"/>
        </w:rPr>
        <w:t xml:space="preserve"> also note</w:t>
      </w:r>
      <w:r w:rsidR="00511D7A" w:rsidRPr="00F17126">
        <w:rPr>
          <w:rFonts w:ascii="Times New Roman" w:eastAsia="Calibri" w:hAnsi="Times New Roman" w:cs="Times New Roman"/>
          <w:sz w:val="24"/>
          <w:szCs w:val="24"/>
          <w:lang w:val="en-US"/>
        </w:rPr>
        <w:t>s</w:t>
      </w:r>
      <w:r w:rsidR="00820E85" w:rsidRPr="00F17126">
        <w:rPr>
          <w:rFonts w:ascii="Times New Roman" w:eastAsia="Calibri" w:hAnsi="Times New Roman" w:cs="Times New Roman"/>
          <w:sz w:val="24"/>
          <w:szCs w:val="24"/>
          <w:lang w:val="en-US"/>
        </w:rPr>
        <w:t xml:space="preserve"> </w:t>
      </w:r>
      <w:r w:rsidR="00B76FF9" w:rsidRPr="00F17126">
        <w:rPr>
          <w:rFonts w:ascii="Times New Roman" w:eastAsia="Calibri" w:hAnsi="Times New Roman" w:cs="Times New Roman"/>
          <w:sz w:val="24"/>
          <w:szCs w:val="24"/>
          <w:lang w:val="en-US"/>
        </w:rPr>
        <w:t>the importance</w:t>
      </w:r>
      <w:r w:rsidR="00820E85" w:rsidRPr="00F17126">
        <w:rPr>
          <w:rFonts w:ascii="Times New Roman" w:eastAsia="Calibri" w:hAnsi="Times New Roman" w:cs="Times New Roman"/>
          <w:sz w:val="24"/>
          <w:szCs w:val="24"/>
          <w:lang w:val="en-US"/>
        </w:rPr>
        <w:t xml:space="preserve"> </w:t>
      </w:r>
      <w:r w:rsidR="00B76FF9" w:rsidRPr="00F17126">
        <w:rPr>
          <w:rFonts w:ascii="Times New Roman" w:eastAsia="Calibri" w:hAnsi="Times New Roman" w:cs="Times New Roman"/>
          <w:sz w:val="24"/>
          <w:szCs w:val="24"/>
          <w:lang w:val="en-US"/>
        </w:rPr>
        <w:t xml:space="preserve">of </w:t>
      </w:r>
      <w:r w:rsidR="00820E85" w:rsidRPr="00F17126">
        <w:rPr>
          <w:rFonts w:ascii="Times New Roman" w:eastAsia="Calibri" w:hAnsi="Times New Roman" w:cs="Times New Roman"/>
          <w:sz w:val="24"/>
          <w:szCs w:val="24"/>
          <w:lang w:val="en-US"/>
        </w:rPr>
        <w:t>interactions between the PA and exogenous factors for determining long-term ambition level</w:t>
      </w:r>
      <w:r w:rsidR="00B76FF9" w:rsidRPr="00F17126">
        <w:rPr>
          <w:rFonts w:ascii="Times New Roman" w:eastAsia="Calibri" w:hAnsi="Times New Roman" w:cs="Times New Roman"/>
          <w:sz w:val="24"/>
          <w:szCs w:val="24"/>
          <w:lang w:val="en-US"/>
        </w:rPr>
        <w:t>s</w:t>
      </w:r>
      <w:r w:rsidR="00820E85" w:rsidRPr="00F17126">
        <w:rPr>
          <w:rFonts w:ascii="Times New Roman" w:eastAsia="Calibri" w:hAnsi="Times New Roman" w:cs="Times New Roman"/>
          <w:sz w:val="24"/>
          <w:szCs w:val="24"/>
          <w:lang w:val="en-US"/>
        </w:rPr>
        <w:t xml:space="preserve">. </w:t>
      </w:r>
      <w:r w:rsidR="00511D7A" w:rsidRPr="00F17126">
        <w:rPr>
          <w:rFonts w:ascii="Times New Roman" w:eastAsia="Calibri" w:hAnsi="Times New Roman" w:cs="Times New Roman"/>
          <w:sz w:val="24"/>
          <w:szCs w:val="24"/>
          <w:lang w:val="en-US"/>
        </w:rPr>
        <w:t xml:space="preserve">For example, </w:t>
      </w:r>
      <w:r w:rsidR="00820E85" w:rsidRPr="00F17126">
        <w:rPr>
          <w:rFonts w:ascii="Times New Roman" w:eastAsia="Calibri" w:hAnsi="Times New Roman" w:cs="Times New Roman"/>
          <w:sz w:val="24"/>
          <w:szCs w:val="24"/>
          <w:lang w:val="en-US"/>
        </w:rPr>
        <w:t xml:space="preserve">Keohane </w:t>
      </w:r>
      <w:r w:rsidR="008F7F61">
        <w:rPr>
          <w:rFonts w:ascii="Times New Roman" w:eastAsia="Calibri" w:hAnsi="Times New Roman" w:cs="Times New Roman"/>
          <w:sz w:val="24"/>
          <w:szCs w:val="24"/>
          <w:lang w:val="en-US"/>
        </w:rPr>
        <w:t>and</w:t>
      </w:r>
      <w:r w:rsidR="00820E85" w:rsidRPr="00F17126">
        <w:rPr>
          <w:rFonts w:ascii="Times New Roman" w:eastAsia="Calibri" w:hAnsi="Times New Roman" w:cs="Times New Roman"/>
          <w:sz w:val="24"/>
          <w:szCs w:val="24"/>
          <w:lang w:val="en-US"/>
        </w:rPr>
        <w:t xml:space="preserve"> Oppenheimer (2016) conclude that </w:t>
      </w:r>
      <w:r w:rsidR="00B76FF9" w:rsidRPr="00F17126">
        <w:rPr>
          <w:rFonts w:ascii="Times New Roman" w:eastAsia="Calibri" w:hAnsi="Times New Roman" w:cs="Times New Roman"/>
          <w:sz w:val="24"/>
          <w:szCs w:val="24"/>
          <w:lang w:val="en-US"/>
        </w:rPr>
        <w:t>the PA’s</w:t>
      </w:r>
      <w:r w:rsidR="00820E85" w:rsidRPr="00F17126">
        <w:rPr>
          <w:rFonts w:ascii="Times New Roman" w:eastAsia="Calibri" w:hAnsi="Times New Roman" w:cs="Times New Roman"/>
          <w:sz w:val="24"/>
          <w:szCs w:val="24"/>
          <w:lang w:val="en-US"/>
        </w:rPr>
        <w:t xml:space="preserve"> actual impact will depend on whether domestic groups </w:t>
      </w:r>
      <w:r w:rsidR="00A83DD1">
        <w:rPr>
          <w:rFonts w:ascii="Times New Roman" w:eastAsia="Calibri" w:hAnsi="Times New Roman" w:cs="Times New Roman"/>
          <w:sz w:val="24"/>
          <w:szCs w:val="24"/>
          <w:lang w:val="en-US"/>
        </w:rPr>
        <w:t xml:space="preserve">can use it </w:t>
      </w:r>
      <w:r w:rsidR="00820E85" w:rsidRPr="00F17126">
        <w:rPr>
          <w:rFonts w:ascii="Times New Roman" w:eastAsia="Calibri" w:hAnsi="Times New Roman" w:cs="Times New Roman"/>
          <w:sz w:val="24"/>
          <w:szCs w:val="24"/>
          <w:lang w:val="en-US"/>
        </w:rPr>
        <w:t>as leverage for climate action</w:t>
      </w:r>
      <w:r w:rsidR="00B76FF9" w:rsidRPr="00F17126">
        <w:rPr>
          <w:rFonts w:ascii="Times New Roman" w:eastAsia="Calibri" w:hAnsi="Times New Roman" w:cs="Times New Roman"/>
          <w:sz w:val="24"/>
          <w:szCs w:val="24"/>
          <w:lang w:val="en-US"/>
        </w:rPr>
        <w:t>. Similarly,</w:t>
      </w:r>
      <w:r w:rsidR="00820E85" w:rsidRPr="00F17126">
        <w:rPr>
          <w:rFonts w:ascii="Times New Roman" w:eastAsia="Calibri" w:hAnsi="Times New Roman" w:cs="Times New Roman"/>
          <w:sz w:val="24"/>
          <w:szCs w:val="24"/>
          <w:lang w:val="en-US"/>
        </w:rPr>
        <w:t xml:space="preserve"> Keohane </w:t>
      </w:r>
      <w:r w:rsidR="008F7F61">
        <w:rPr>
          <w:rFonts w:ascii="Times New Roman" w:eastAsia="Calibri" w:hAnsi="Times New Roman" w:cs="Times New Roman"/>
          <w:sz w:val="24"/>
          <w:szCs w:val="24"/>
          <w:lang w:val="en-US"/>
        </w:rPr>
        <w:t>and</w:t>
      </w:r>
      <w:r w:rsidR="00820E85" w:rsidRPr="00F17126">
        <w:rPr>
          <w:rFonts w:ascii="Times New Roman" w:eastAsia="Calibri" w:hAnsi="Times New Roman" w:cs="Times New Roman"/>
          <w:sz w:val="24"/>
          <w:szCs w:val="24"/>
          <w:lang w:val="en-US"/>
        </w:rPr>
        <w:t xml:space="preserve"> Victor (2016) argue that whether negotiations lead to substantial mitigation will depend </w:t>
      </w:r>
      <w:r w:rsidR="00B76FF9" w:rsidRPr="00F17126">
        <w:rPr>
          <w:rFonts w:ascii="Times New Roman" w:eastAsia="Calibri" w:hAnsi="Times New Roman" w:cs="Times New Roman"/>
          <w:sz w:val="24"/>
          <w:szCs w:val="24"/>
          <w:lang w:val="en-US"/>
        </w:rPr>
        <w:t>less</w:t>
      </w:r>
      <w:r w:rsidR="00820E85" w:rsidRPr="00F17126">
        <w:rPr>
          <w:rFonts w:ascii="Times New Roman" w:eastAsia="Calibri" w:hAnsi="Times New Roman" w:cs="Times New Roman"/>
          <w:sz w:val="24"/>
          <w:szCs w:val="24"/>
          <w:lang w:val="en-US"/>
        </w:rPr>
        <w:t xml:space="preserve"> on the </w:t>
      </w:r>
      <w:r w:rsidR="00B76FF9" w:rsidRPr="00F17126">
        <w:rPr>
          <w:rFonts w:ascii="Times New Roman" w:eastAsia="Calibri" w:hAnsi="Times New Roman" w:cs="Times New Roman"/>
          <w:sz w:val="24"/>
          <w:szCs w:val="24"/>
          <w:lang w:val="en-US"/>
        </w:rPr>
        <w:t>PA</w:t>
      </w:r>
      <w:r w:rsidR="00820E85" w:rsidRPr="00F17126">
        <w:rPr>
          <w:rFonts w:ascii="Times New Roman" w:eastAsia="Calibri" w:hAnsi="Times New Roman" w:cs="Times New Roman"/>
          <w:sz w:val="24"/>
          <w:szCs w:val="24"/>
          <w:lang w:val="en-US"/>
        </w:rPr>
        <w:t>’s text</w:t>
      </w:r>
      <w:r w:rsidR="00B76FF9" w:rsidRPr="00F17126">
        <w:rPr>
          <w:rFonts w:ascii="Times New Roman" w:eastAsia="Calibri" w:hAnsi="Times New Roman" w:cs="Times New Roman"/>
          <w:sz w:val="24"/>
          <w:szCs w:val="24"/>
          <w:lang w:val="en-US"/>
        </w:rPr>
        <w:t xml:space="preserve"> than </w:t>
      </w:r>
      <w:r w:rsidR="00820E85" w:rsidRPr="00F17126">
        <w:rPr>
          <w:rFonts w:ascii="Times New Roman" w:eastAsia="Calibri" w:hAnsi="Times New Roman" w:cs="Times New Roman"/>
          <w:sz w:val="24"/>
          <w:szCs w:val="24"/>
          <w:lang w:val="en-US"/>
        </w:rPr>
        <w:t xml:space="preserve">on domestic and transnational politics. Finally, Young (2016) presents two pathways to success for the </w:t>
      </w:r>
      <w:r w:rsidR="001526C0" w:rsidRPr="00F17126">
        <w:rPr>
          <w:rFonts w:ascii="Times New Roman" w:eastAsia="Calibri" w:hAnsi="Times New Roman" w:cs="Times New Roman"/>
          <w:sz w:val="24"/>
          <w:szCs w:val="24"/>
          <w:lang w:val="en-US"/>
        </w:rPr>
        <w:t>PA</w:t>
      </w:r>
      <w:r w:rsidR="00820E85" w:rsidRPr="00F17126">
        <w:rPr>
          <w:rFonts w:ascii="Times New Roman" w:eastAsia="Calibri" w:hAnsi="Times New Roman" w:cs="Times New Roman"/>
          <w:sz w:val="24"/>
          <w:szCs w:val="24"/>
          <w:lang w:val="en-US"/>
        </w:rPr>
        <w:t>. One features a disruptive climate shock; the other involves bre</w:t>
      </w:r>
      <w:r w:rsidR="00511D7A" w:rsidRPr="00F17126">
        <w:rPr>
          <w:rFonts w:ascii="Times New Roman" w:eastAsia="Calibri" w:hAnsi="Times New Roman" w:cs="Times New Roman"/>
          <w:sz w:val="24"/>
          <w:szCs w:val="24"/>
          <w:lang w:val="en-US"/>
        </w:rPr>
        <w:t xml:space="preserve">aking the political grip of </w:t>
      </w:r>
      <w:r w:rsidR="008D4F20">
        <w:rPr>
          <w:rFonts w:ascii="Times New Roman" w:eastAsia="Calibri" w:hAnsi="Times New Roman" w:cs="Times New Roman"/>
          <w:sz w:val="24"/>
          <w:szCs w:val="24"/>
          <w:lang w:val="en-US"/>
        </w:rPr>
        <w:t>BAU</w:t>
      </w:r>
      <w:r w:rsidR="00511D7A" w:rsidRPr="00F17126">
        <w:rPr>
          <w:rFonts w:ascii="Times New Roman" w:eastAsia="Calibri" w:hAnsi="Times New Roman" w:cs="Times New Roman"/>
          <w:sz w:val="24"/>
          <w:szCs w:val="24"/>
          <w:lang w:val="en-US"/>
        </w:rPr>
        <w:t xml:space="preserve"> </w:t>
      </w:r>
      <w:r w:rsidR="00820E85" w:rsidRPr="00F17126">
        <w:rPr>
          <w:rFonts w:ascii="Times New Roman" w:eastAsia="Calibri" w:hAnsi="Times New Roman" w:cs="Times New Roman"/>
          <w:sz w:val="24"/>
          <w:szCs w:val="24"/>
          <w:lang w:val="en-US"/>
        </w:rPr>
        <w:t>forces and fostering a revolution in public consciousness.</w:t>
      </w:r>
    </w:p>
    <w:p w14:paraId="6C4CF31D" w14:textId="009A5214" w:rsidR="00FB3223" w:rsidRPr="00F17126" w:rsidRDefault="00BF1E21" w:rsidP="00FA4F60">
      <w:pPr>
        <w:spacing w:line="360" w:lineRule="auto"/>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Sixth, </w:t>
      </w:r>
      <w:r w:rsidR="00A83DD1">
        <w:rPr>
          <w:rFonts w:ascii="Times New Roman" w:hAnsi="Times New Roman" w:cs="Times New Roman"/>
          <w:sz w:val="24"/>
          <w:szCs w:val="24"/>
          <w:lang w:val="en-US"/>
        </w:rPr>
        <w:t>the PA’s prospects</w:t>
      </w:r>
      <w:r w:rsidR="00FB3223" w:rsidRPr="00F17126">
        <w:rPr>
          <w:rFonts w:ascii="Times New Roman" w:hAnsi="Times New Roman" w:cs="Times New Roman"/>
          <w:sz w:val="24"/>
          <w:szCs w:val="24"/>
          <w:lang w:val="en-US"/>
        </w:rPr>
        <w:t xml:space="preserve"> will be heavily influenced by non-state actors</w:t>
      </w:r>
      <w:r w:rsidR="00A83DD1">
        <w:rPr>
          <w:rFonts w:ascii="Times New Roman" w:hAnsi="Times New Roman" w:cs="Times New Roman"/>
          <w:sz w:val="24"/>
          <w:szCs w:val="24"/>
          <w:lang w:val="en-US"/>
        </w:rPr>
        <w:t>,</w:t>
      </w:r>
      <w:r w:rsidR="00FB3223" w:rsidRPr="00F17126">
        <w:rPr>
          <w:rFonts w:ascii="Times New Roman" w:hAnsi="Times New Roman" w:cs="Times New Roman"/>
          <w:sz w:val="24"/>
          <w:szCs w:val="24"/>
          <w:lang w:val="en-US"/>
        </w:rPr>
        <w:t xml:space="preserve"> </w:t>
      </w:r>
      <w:r w:rsidR="00A83DD1">
        <w:rPr>
          <w:rFonts w:ascii="Times New Roman" w:hAnsi="Times New Roman" w:cs="Times New Roman"/>
          <w:sz w:val="24"/>
          <w:szCs w:val="24"/>
          <w:lang w:val="en-US"/>
        </w:rPr>
        <w:t>too</w:t>
      </w:r>
      <w:r w:rsidR="00FB3223" w:rsidRPr="00F17126">
        <w:rPr>
          <w:rFonts w:ascii="Times New Roman" w:hAnsi="Times New Roman" w:cs="Times New Roman"/>
          <w:sz w:val="24"/>
          <w:szCs w:val="24"/>
          <w:lang w:val="en-US"/>
        </w:rPr>
        <w:t xml:space="preserve">. </w:t>
      </w:r>
      <w:r w:rsidR="00A83DD1">
        <w:rPr>
          <w:rFonts w:ascii="Times New Roman" w:hAnsi="Times New Roman" w:cs="Times New Roman"/>
          <w:sz w:val="24"/>
          <w:szCs w:val="24"/>
          <w:lang w:val="en-US"/>
        </w:rPr>
        <w:t>Implementing</w:t>
      </w:r>
      <w:r w:rsidR="00FB3223" w:rsidRPr="00F17126">
        <w:rPr>
          <w:rFonts w:ascii="Times New Roman" w:hAnsi="Times New Roman" w:cs="Times New Roman"/>
          <w:sz w:val="24"/>
          <w:szCs w:val="24"/>
          <w:lang w:val="en-US"/>
        </w:rPr>
        <w:t xml:space="preserve"> existing NDCs as well as </w:t>
      </w:r>
      <w:r w:rsidR="00A83DD1">
        <w:rPr>
          <w:rFonts w:ascii="Times New Roman" w:hAnsi="Times New Roman" w:cs="Times New Roman"/>
          <w:sz w:val="24"/>
          <w:szCs w:val="24"/>
          <w:lang w:val="en-US"/>
        </w:rPr>
        <w:t>governments’ willingness</w:t>
      </w:r>
      <w:r w:rsidR="00FB3223" w:rsidRPr="00F17126">
        <w:rPr>
          <w:rFonts w:ascii="Times New Roman" w:hAnsi="Times New Roman" w:cs="Times New Roman"/>
          <w:sz w:val="24"/>
          <w:szCs w:val="24"/>
          <w:lang w:val="en-US"/>
        </w:rPr>
        <w:t xml:space="preserve"> to increase ambition over time will be </w:t>
      </w:r>
      <w:r w:rsidR="00820E85" w:rsidRPr="00F17126">
        <w:rPr>
          <w:rFonts w:ascii="Times New Roman" w:hAnsi="Times New Roman" w:cs="Times New Roman"/>
          <w:sz w:val="24"/>
          <w:szCs w:val="24"/>
          <w:lang w:val="en-US"/>
        </w:rPr>
        <w:t>highl</w:t>
      </w:r>
      <w:r w:rsidR="00FB3223" w:rsidRPr="00F17126">
        <w:rPr>
          <w:rFonts w:ascii="Times New Roman" w:hAnsi="Times New Roman" w:cs="Times New Roman"/>
          <w:sz w:val="24"/>
          <w:szCs w:val="24"/>
          <w:lang w:val="en-US"/>
        </w:rPr>
        <w:t xml:space="preserve">y </w:t>
      </w:r>
      <w:r w:rsidR="00820E85" w:rsidRPr="00F17126">
        <w:rPr>
          <w:rFonts w:ascii="Times New Roman" w:hAnsi="Times New Roman" w:cs="Times New Roman"/>
          <w:sz w:val="24"/>
          <w:szCs w:val="24"/>
          <w:lang w:val="en-US"/>
        </w:rPr>
        <w:t>influenc</w:t>
      </w:r>
      <w:r w:rsidR="00FB3223" w:rsidRPr="00F17126">
        <w:rPr>
          <w:rFonts w:ascii="Times New Roman" w:hAnsi="Times New Roman" w:cs="Times New Roman"/>
          <w:sz w:val="24"/>
          <w:szCs w:val="24"/>
          <w:lang w:val="en-US"/>
        </w:rPr>
        <w:t>ed by business practices, investment patterns, and climate governance initiatives at subnational levels</w:t>
      </w:r>
      <w:r w:rsidR="00511D7A" w:rsidRPr="00F17126">
        <w:rPr>
          <w:rFonts w:ascii="Times New Roman" w:hAnsi="Times New Roman" w:cs="Times New Roman"/>
          <w:sz w:val="24"/>
          <w:szCs w:val="24"/>
          <w:lang w:val="en-US"/>
        </w:rPr>
        <w:t xml:space="preserve"> (Bäckstrand et al., 2017)</w:t>
      </w:r>
      <w:r w:rsidR="00FB3223" w:rsidRPr="00F17126">
        <w:rPr>
          <w:rFonts w:ascii="Times New Roman" w:hAnsi="Times New Roman" w:cs="Times New Roman"/>
          <w:sz w:val="24"/>
          <w:szCs w:val="24"/>
          <w:lang w:val="en-US"/>
        </w:rPr>
        <w:t xml:space="preserve">. </w:t>
      </w:r>
    </w:p>
    <w:p w14:paraId="255869DD" w14:textId="377B8C60" w:rsidR="007D00A4" w:rsidRDefault="00FA4F60" w:rsidP="009C477E">
      <w:pPr>
        <w:spacing w:line="360" w:lineRule="auto"/>
        <w:rPr>
          <w:rFonts w:ascii="Times New Roman" w:hAnsi="Times New Roman" w:cs="Times New Roman"/>
          <w:b/>
          <w:sz w:val="24"/>
          <w:szCs w:val="24"/>
          <w:lang w:val="en-US"/>
        </w:rPr>
      </w:pPr>
      <w:r w:rsidRPr="00F17126">
        <w:rPr>
          <w:rFonts w:ascii="Times New Roman" w:hAnsi="Times New Roman" w:cs="Times New Roman"/>
          <w:sz w:val="24"/>
          <w:szCs w:val="24"/>
          <w:lang w:val="en-US"/>
        </w:rPr>
        <w:t>Finally, developments so far are not particularly promising in terms of environmental results. Assessments of the first-round NDCs find they fail to put emissions on a path consistent with achieving the collective temperature goal</w:t>
      </w:r>
      <w:r w:rsidR="00511D7A" w:rsidRPr="00F17126">
        <w:rPr>
          <w:rFonts w:ascii="Times New Roman" w:hAnsi="Times New Roman" w:cs="Times New Roman"/>
          <w:sz w:val="24"/>
          <w:szCs w:val="24"/>
          <w:lang w:val="en-US"/>
        </w:rPr>
        <w:t>s</w:t>
      </w:r>
      <w:r w:rsidRPr="00F17126">
        <w:rPr>
          <w:rFonts w:ascii="Times New Roman" w:hAnsi="Times New Roman" w:cs="Times New Roman"/>
          <w:sz w:val="24"/>
          <w:szCs w:val="24"/>
          <w:lang w:val="en-US"/>
        </w:rPr>
        <w:t xml:space="preserve"> (UNFCCC, 2015; Rogelj et al., 2016</w:t>
      </w:r>
      <w:r w:rsidR="008F7F61">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Climate Action Tracker</w:t>
      </w:r>
      <w:r w:rsidR="00511D7A" w:rsidRPr="00F17126">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2017). To make things even more challenging, in 2017 global CO2 emissions resumed growth after three years at relatively constant levels. It is therefore extremely important that the PA </w:t>
      </w:r>
      <w:r w:rsidR="00FE635F">
        <w:rPr>
          <w:rFonts w:ascii="Times New Roman" w:hAnsi="Times New Roman" w:cs="Times New Roman"/>
          <w:sz w:val="24"/>
          <w:szCs w:val="24"/>
          <w:lang w:val="en-US"/>
        </w:rPr>
        <w:t>meet</w:t>
      </w:r>
      <w:r w:rsidRPr="00F17126">
        <w:rPr>
          <w:rFonts w:ascii="Times New Roman" w:hAnsi="Times New Roman" w:cs="Times New Roman"/>
          <w:sz w:val="24"/>
          <w:szCs w:val="24"/>
          <w:lang w:val="en-US"/>
        </w:rPr>
        <w:t xml:space="preserve"> expectations concerning its ability to deliver deep </w:t>
      </w:r>
      <w:r w:rsidR="00FE635F" w:rsidRPr="00F17126">
        <w:rPr>
          <w:rFonts w:ascii="Times New Roman" w:hAnsi="Times New Roman" w:cs="Times New Roman"/>
          <w:sz w:val="24"/>
          <w:szCs w:val="24"/>
          <w:lang w:val="en-US"/>
        </w:rPr>
        <w:t>global emission</w:t>
      </w:r>
      <w:r w:rsidR="00FE635F" w:rsidRPr="00F17126">
        <w:rPr>
          <w:rFonts w:ascii="Times New Roman" w:hAnsi="Times New Roman" w:cs="Times New Roman"/>
          <w:sz w:val="24"/>
          <w:szCs w:val="24"/>
          <w:lang w:val="en-US"/>
        </w:rPr>
        <w:t xml:space="preserve"> </w:t>
      </w:r>
      <w:r w:rsidRPr="00F17126">
        <w:rPr>
          <w:rFonts w:ascii="Times New Roman" w:hAnsi="Times New Roman" w:cs="Times New Roman"/>
          <w:sz w:val="24"/>
          <w:szCs w:val="24"/>
          <w:lang w:val="en-US"/>
        </w:rPr>
        <w:t>cuts.</w:t>
      </w:r>
      <w:r w:rsidR="000115C7" w:rsidRPr="00F17126">
        <w:rPr>
          <w:rFonts w:ascii="Times New Roman" w:hAnsi="Times New Roman" w:cs="Times New Roman"/>
          <w:b/>
          <w:sz w:val="24"/>
          <w:szCs w:val="24"/>
          <w:lang w:val="en-US"/>
        </w:rPr>
        <w:br w:type="page"/>
      </w:r>
    </w:p>
    <w:p w14:paraId="7DA67DF3" w14:textId="0382B15D"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b/>
          <w:sz w:val="24"/>
          <w:szCs w:val="24"/>
          <w:lang w:val="en-US"/>
        </w:rPr>
      </w:pPr>
      <w:r w:rsidRPr="008C7868">
        <w:rPr>
          <w:rFonts w:ascii="Times New Roman" w:hAnsi="Times New Roman" w:cs="Times New Roman"/>
          <w:b/>
          <w:sz w:val="24"/>
          <w:szCs w:val="24"/>
          <w:lang w:val="en-US"/>
        </w:rPr>
        <w:lastRenderedPageBreak/>
        <w:t>References</w:t>
      </w:r>
    </w:p>
    <w:p w14:paraId="29B9D1C4" w14:textId="77777777" w:rsidR="00F16F4A" w:rsidRDefault="00F16F4A" w:rsidP="00F16F4A">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en-US"/>
        </w:rPr>
        <w:t>Andresen, Steinar. 2015. International Climate Negotiations: Top-down, Bottom-up or a</w:t>
      </w:r>
      <w:r>
        <w:rPr>
          <w:rFonts w:ascii="Times New Roman" w:hAnsi="Times New Roman" w:cs="Times New Roman"/>
          <w:sz w:val="24"/>
          <w:szCs w:val="24"/>
          <w:lang w:val="en-US"/>
        </w:rPr>
        <w:t xml:space="preserve"> </w:t>
      </w:r>
      <w:r w:rsidRPr="00F16F4A">
        <w:rPr>
          <w:rFonts w:ascii="Times New Roman" w:hAnsi="Times New Roman" w:cs="Times New Roman"/>
          <w:sz w:val="24"/>
          <w:szCs w:val="24"/>
          <w:lang w:val="en-US"/>
        </w:rPr>
        <w:t xml:space="preserve">Combination of Both? </w:t>
      </w:r>
      <w:r w:rsidRPr="007C7E85">
        <w:rPr>
          <w:rFonts w:ascii="Times New Roman" w:hAnsi="Times New Roman" w:cs="Times New Roman"/>
          <w:sz w:val="24"/>
          <w:szCs w:val="24"/>
          <w:lang w:val="en-US"/>
        </w:rPr>
        <w:t>The International Spectator</w:t>
      </w:r>
      <w:r w:rsidRPr="00F16F4A">
        <w:rPr>
          <w:rFonts w:ascii="Times New Roman" w:hAnsi="Times New Roman" w:cs="Times New Roman"/>
          <w:sz w:val="24"/>
          <w:szCs w:val="24"/>
          <w:lang w:val="en-US"/>
        </w:rPr>
        <w:t xml:space="preserve"> 50 (1): 15-30.</w:t>
      </w:r>
    </w:p>
    <w:p w14:paraId="1E3ED0A5" w14:textId="77777777" w:rsidR="00F16F4A" w:rsidRDefault="008C7868" w:rsidP="00F16F4A">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da-DK"/>
        </w:rPr>
        <w:t xml:space="preserve">Auld, G., &amp; Gulbrandsen, L. H. (2013). </w:t>
      </w:r>
      <w:r w:rsidRPr="008C7868">
        <w:rPr>
          <w:rFonts w:ascii="Times New Roman" w:hAnsi="Times New Roman" w:cs="Times New Roman"/>
          <w:sz w:val="24"/>
          <w:szCs w:val="24"/>
          <w:lang w:val="en-US"/>
        </w:rPr>
        <w:t>Private Regulation in Global Environmental Governance. In R. Falkner (Ed.), Handbook of Global Climate and Environmental Policy. Oxford: Wiley-Blackwell.</w:t>
      </w:r>
    </w:p>
    <w:p w14:paraId="1C07ED14" w14:textId="151E876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Bang, G., Hovi, J., &amp; Skodvin, T. (2016). The Paris Agreement: Short-Term and Long-Term Effectiveness. Politics and Governance, 4(3), 209-218.</w:t>
      </w:r>
    </w:p>
    <w:p w14:paraId="77607CD1"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Barrett, S. (2003). Environment and Statecraft - The Strategy of Environmental Treaty-Making. Oxford: Oxford University Press.</w:t>
      </w:r>
    </w:p>
    <w:p w14:paraId="4BA15330"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Barrett, S. (2016). The Paris Agreement: We can do (and have done) better. The Paris Agreement and Beyond: International Climate Change Policy Post-2020, 75-78.</w:t>
      </w:r>
    </w:p>
    <w:p w14:paraId="07013C9F"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Bernauer, T., Dong, L., McGrath, L. F., Shaymerdenova, I., &amp; Zhang, H. (2016). Unilateral or reciprocal climate policy? Experimental evidence from China. Politics and Governance, 4(3), 152-171.</w:t>
      </w:r>
    </w:p>
    <w:p w14:paraId="557F4D9E"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Bernauer, T., &amp; Gampfer, R. (2015). How robust is public support for unilateral climate policy? Environmental Science &amp; Policy, 54, 316-330.</w:t>
      </w:r>
    </w:p>
    <w:p w14:paraId="0FD18689"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Bluedorn, J. C., &amp; Bowdler, C. (2010). The Empirics of International Monetary Transmission: Identification and the Impossible Trinity. Journal of Money, Credit and Banking, 42(4), 679-713.</w:t>
      </w:r>
    </w:p>
    <w:p w14:paraId="7422EAF7"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Bodansky, D. (2016). The legal character of the Paris Agreement. Review of European, Comparative &amp; International Environmental Law, 25(2), 142-150.</w:t>
      </w:r>
    </w:p>
    <w:p w14:paraId="7A9D0495"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Bodle, R., &amp; Oberthür, S. (2017). Legal Form of the Paris Agreement and Nature of Its Obligations. In D. R. Klein, M. P. Carazo, M. Doelle, J. Bulmer, &amp; A. Higham (Eds.), The Paris Agreement on Climate Change. Analysis and Commentary (pp. 91-106). Oxford: Oxford University Press.</w:t>
      </w:r>
    </w:p>
    <w:p w14:paraId="74C5B5E5"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Briner, G., &amp; Moarif, S. (2016). Unpacking provisions related to transparency of mitigation and support in the Paris Agreement. Climate Change Expert Group (Vol. 2016(2)). Paris: OECD/IEA.</w:t>
      </w:r>
    </w:p>
    <w:p w14:paraId="5FE01670"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lastRenderedPageBreak/>
        <w:t>Brun, A. (2016). Conference diplomacy: The making of the Paris Agreement. Politics and Governance, 4(3), 115-123.</w:t>
      </w:r>
    </w:p>
    <w:p w14:paraId="32C9B775"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Bäckstrand, K., Kuyper, J. W., Linnér, B.-O., &amp; Lövbrand, E. (2017). Non-state actors in global climate governance: from Copenhagen to Paris and beyond. Taylor &amp; Francis.</w:t>
      </w:r>
    </w:p>
    <w:p w14:paraId="7F8FC523"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Chan, S., Falkner, R., Goldberg, M., &amp; van Asselt, H. (2018). Effective and geographically balanced? An output-based assessment of non-state climate actions. Climate Policy, 18(1), 24-35.</w:t>
      </w:r>
    </w:p>
    <w:p w14:paraId="498AD46A"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Church, J. A., &amp; Clark, P. U. (2013). Sea Level Change. In T. F. Stocker et al. (Ed.), Climate Change 2013: The Physical Science Basis. Contribution of Working Group I to the Fifth Assessment Report of the Intergovernmental Panel on Climate Change Cambridge: Cambridge University Press.</w:t>
      </w:r>
    </w:p>
    <w:p w14:paraId="6E03B45B"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Dagnet, Y., &amp; Northrop, E. (2017). Facilitating Implementation and Promoting Compliance (Article 15). In D. R. Klein, M. P. Carazo, M. Doelle, J. Bulmer, &amp; A. Higham (Eds.), The Paris Agreement on Climate Change. Analysis and Commentary (pp. 338-351). Oxford: Oxford University Press.</w:t>
      </w:r>
    </w:p>
    <w:p w14:paraId="1F2AFCB3"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Dimitrov, R. S. (2016). The Paris Agreement on Climate Change: Behind Closed Doors. Global environmental politics, 16(3), 1-11.</w:t>
      </w:r>
    </w:p>
    <w:p w14:paraId="4F2D1965"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Doelle, M. (2017). Assessment of Strengths and Weaknesses. In D. R. Klein, M. P. Carazo, M. Doelle, J. Bulmer, &amp; A. Higham (Eds.), The Paris Agreement on Climate Change. Analysis and Commentary (pp. 375-388). Oxford: Oxford University Press.</w:t>
      </w:r>
    </w:p>
    <w:p w14:paraId="103424A4"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Falkner, R. (2016). The Paris Agreement and the New Logic of International Climate Politics. International Affairs, 92(5), 1107-1125.</w:t>
      </w:r>
    </w:p>
    <w:p w14:paraId="3B6E5F1A"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Fawcett, A. A., Iyer, G. C., Clarke, L. E., Edmonds, J. A., Hultman, N. E., McJeon, H. C., et al. (2015). Can Paris pledges avert severe climate change? science, 350(6265), 1168-1169.</w:t>
      </w:r>
    </w:p>
    <w:p w14:paraId="144332C7"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Friedrich, J. (2017). Global Stocktake (Article 14). In D. R. Klein, M. P. Carazo, M. Doelle, J. Bulmer, &amp; A. Higham (Eds.), The Paris Agreement on Climate Change. Analysis and Commentary (pp. 319-337). Oxford: Oxford University Press.</w:t>
      </w:r>
    </w:p>
    <w:p w14:paraId="70FFB6F6"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Fry, I. (2016). The Paris Agreement: An Insider's Perspective-The Role of Small Island Developing States. Environmental Policy and Law, 46(2), 105.</w:t>
      </w:r>
    </w:p>
    <w:p w14:paraId="1D1ADDD3"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lastRenderedPageBreak/>
        <w:t>Goodwin, P., Katavouta, A., Roussenov, V. M., Foster, G. L., Rohling, E. J., &amp; Williams, R. G. (2018). Pathways to 1.5 °C and 2 °C warming based on observational and geological constraints. Nature Geoscience, 11(2), 102-107.</w:t>
      </w:r>
    </w:p>
    <w:p w14:paraId="2ABCB534"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Green, J. F. (2013). Order Out of Chaos: Public and Private Rules for Managing Carbon. Environmental Policy and Law, 46(2), 105-108.</w:t>
      </w:r>
    </w:p>
    <w:p w14:paraId="248065A8"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Green, J. F. (2014). Rethinking Private Authority. Princeton, NJ: Princeton University Press.</w:t>
      </w:r>
    </w:p>
    <w:p w14:paraId="6CC8A8BB"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da-DK"/>
        </w:rPr>
        <w:t xml:space="preserve">Gulbrandsen, L. H., &amp; Auld, G. (2016). </w:t>
      </w:r>
      <w:r w:rsidRPr="008C7868">
        <w:rPr>
          <w:rFonts w:ascii="Times New Roman" w:hAnsi="Times New Roman" w:cs="Times New Roman"/>
          <w:sz w:val="24"/>
          <w:szCs w:val="24"/>
          <w:lang w:val="en-US"/>
        </w:rPr>
        <w:t>Contested accountability logics in evolving nonstate certification for fisheries sustainability. Global environmental politics, 16(2), 42-60.</w:t>
      </w:r>
    </w:p>
    <w:p w14:paraId="68FE11CE"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Hale, T. (2016). “All hands on deck”: The Paris agreement and nonstate climate action. Global environmental politics, 16(3), 12-22.</w:t>
      </w:r>
    </w:p>
    <w:p w14:paraId="75FE000C"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Higham, A. (2017). Epilogue: Making the Transition from an International Agreement to a New Epoch of Human Prosperity in One Generation. In D. R. Klein, M. P. Carazo, M. Doelle, J. Bulmer, &amp; A. Higham (Eds.), The Paris Agreement on Climate Change. Analysis and Commentary (pp. 413-416). Oxford: Oxford University Press.</w:t>
      </w:r>
    </w:p>
    <w:p w14:paraId="59DA619A"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7C7E85">
        <w:rPr>
          <w:rFonts w:ascii="Times New Roman" w:hAnsi="Times New Roman" w:cs="Times New Roman"/>
          <w:sz w:val="24"/>
          <w:szCs w:val="24"/>
          <w:lang w:val="de-DE"/>
        </w:rPr>
        <w:t xml:space="preserve">Höhne, N., Kuramochi, T., Warnecke, C., Röser, F., Fekete, H., Hagemann, M., et al. </w:t>
      </w:r>
      <w:r w:rsidRPr="008C7868">
        <w:rPr>
          <w:rFonts w:ascii="Times New Roman" w:hAnsi="Times New Roman" w:cs="Times New Roman"/>
          <w:sz w:val="24"/>
          <w:szCs w:val="24"/>
          <w:lang w:val="en-US"/>
        </w:rPr>
        <w:t>(2017). The Paris Agreement: resolving the inconsistency between global goals and national contributions. Climate Policy, 17(1), 16-32.</w:t>
      </w:r>
    </w:p>
    <w:p w14:paraId="29DF41B7"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Karlsson-Vinkhuyzen, S. I., Groff, M., Tamás, P. A., Dahl, A. L., Harder, M., &amp; Hassall, G. (2018). Entry into force and then? The Paris agreement and state accountability. Climate Policy, 18(5), 593-599.</w:t>
      </w:r>
    </w:p>
    <w:p w14:paraId="74E8CB1D"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Keohane, R. O., &amp; Oppenheimer, M. (2016). Paris: beyond the climate dead end through pledge and review? Politics and Governance, 4(3), 142-151.</w:t>
      </w:r>
    </w:p>
    <w:p w14:paraId="21C51C3C"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Keohane, R. O., &amp; Victor, D. G. (2016). Cooperation and Discord in Global Climate Policy. Nature Climate Change, 6, 570-575.</w:t>
      </w:r>
    </w:p>
    <w:p w14:paraId="21D8F7A6"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Kinley, R. (2017). Climate change after Paris: From turning point to transformation. Climate Policy, 17(1), 9-15.</w:t>
      </w:r>
    </w:p>
    <w:p w14:paraId="1BA16A95" w14:textId="342274AE"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Klein, D. R., Carazo, M. P., Doelle, M., Bulmer, J., &amp; Higham, A. (Eds.). (2017). The Paris Agreement on Climate Change : Analysis and Commentary. Oxford: Oxford University Press.</w:t>
      </w:r>
    </w:p>
    <w:p w14:paraId="25F8C09A" w14:textId="77777777" w:rsidR="008C7868" w:rsidRPr="00F17126" w:rsidRDefault="008C7868" w:rsidP="008C7868">
      <w:pPr>
        <w:ind w:left="567" w:hanging="567"/>
        <w:rPr>
          <w:rFonts w:ascii="Times New Roman" w:hAnsi="Times New Roman" w:cs="Times New Roman"/>
          <w:sz w:val="24"/>
          <w:szCs w:val="24"/>
          <w:lang w:val="en-US"/>
        </w:rPr>
      </w:pPr>
      <w:r w:rsidRPr="00F17126">
        <w:rPr>
          <w:rFonts w:ascii="Times New Roman" w:hAnsi="Times New Roman" w:cs="Times New Roman"/>
          <w:sz w:val="24"/>
          <w:szCs w:val="24"/>
          <w:lang w:val="en-US"/>
        </w:rPr>
        <w:lastRenderedPageBreak/>
        <w:t>Krugman, Paul 1999. “O Canada. A neglected nation gets its Nobel</w:t>
      </w:r>
      <w:r>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available from </w:t>
      </w:r>
      <w:hyperlink r:id="rId10" w:history="1">
        <w:r w:rsidRPr="00F17126">
          <w:rPr>
            <w:rStyle w:val="Hyperlink"/>
            <w:rFonts w:ascii="Times New Roman" w:hAnsi="Times New Roman" w:cs="Times New Roman"/>
            <w:sz w:val="24"/>
            <w:szCs w:val="24"/>
            <w:lang w:val="en-US"/>
          </w:rPr>
          <w:t>http://www.slate.com/articles/business/the_dismal_science/1999/10/o_canada.html?via=gdpr-consent</w:t>
        </w:r>
      </w:hyperlink>
      <w:r w:rsidRPr="00F17126">
        <w:rPr>
          <w:rFonts w:ascii="Times New Roman" w:hAnsi="Times New Roman" w:cs="Times New Roman"/>
          <w:sz w:val="24"/>
          <w:szCs w:val="24"/>
          <w:lang w:val="en-US"/>
        </w:rPr>
        <w:t xml:space="preserve"> (accessed 23 September 2018).</w:t>
      </w:r>
    </w:p>
    <w:p w14:paraId="1A82905A"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Mace, M., &amp; Verheyen, R. (2016). Loss, Damage and Responsibility after COP 21: All Options Open for the Paris Agreement. Review of European, Comparative &amp; International Environmental Law, 25(2), 197-214.</w:t>
      </w:r>
    </w:p>
    <w:p w14:paraId="1DE88558"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Mattoo, A., &amp; Subramanian, A. (2012). Equity in Climate Change: An Analytical Review. World Development, 40(6), 1083-1097.</w:t>
      </w:r>
    </w:p>
    <w:p w14:paraId="7C5040BB"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McGrath, L. F., &amp; Bernauer, T. (2017). How strong is public support for unilateral climate policy and what drives it? Wiley Interdisciplinary Reviews: Climate Change, 8(6), e484.</w:t>
      </w:r>
    </w:p>
    <w:p w14:paraId="2DD035E1"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Michaelowa, K., &amp; Michaelowa, A. (2017). Transnational climate governance initiatives: designed for effective climate change mitigation? International Interactions, 43(1), 129-155.</w:t>
      </w:r>
    </w:p>
    <w:p w14:paraId="27AFBA9A"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Millar, R. J., Fuglestvedt, J. S., Friedlingstein, P., Rogelj, J., Grubb, M. J., Matthews, H. D., et al. (2017). Emission budgets and pathways consistent with limiting warming to 1.5 C. Nature Geoscience, 10(10), 741.</w:t>
      </w:r>
    </w:p>
    <w:p w14:paraId="1B9672D3"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Mitchell, R. B. (2008). Compliance Theory: Compliance, Effectiveness, and Behaviour Change in International Environmental Law. In D. Bodansky, J. Brunnée, E. Hey, &amp; R. B. Mitchell (Eds.), The Oxford Handbook of International Environmental Law. Oxford: Oxford University Press.</w:t>
      </w:r>
    </w:p>
    <w:p w14:paraId="75BFCA10"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Müller, B., Höhne, N., &amp; Ellermann, C. (2009). Differentiating (Historical) Responsibility for Climate Change. Climate Policy, 9(6), 593-611.</w:t>
      </w:r>
    </w:p>
    <w:p w14:paraId="59B7B79B"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Obstfeld, M., Shambaugh, J. C., &amp; Taylor, A. M. (2004). Monetary Sovereignty, Exchange Rates, and Capital Controls: The Trilemma in the Interwar Period. IMF Staff Papers, 51, 75-108.</w:t>
      </w:r>
    </w:p>
    <w:p w14:paraId="780B8F72"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Obstfeld, M., Shambaugh, J. C., &amp; Taylor, A. M. (2005). The Trilemma in History: Tradeoffs among Exchange Rates, Monetary Policies, and Capital Mobility. The Review of Economics and Statistics, 87(3), 423-438.</w:t>
      </w:r>
    </w:p>
    <w:p w14:paraId="6E8AF5F5" w14:textId="2220E557"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Obstfeld, M., Shambaugh, J. C., &amp; Taylor, A. M. (2010). Financial Stability, the Trilemma, and International Reserves. American Economic Journal: Macroeconomics, 2(2), 57-94.</w:t>
      </w:r>
    </w:p>
    <w:p w14:paraId="3986DD52" w14:textId="77777777" w:rsidR="008C7868" w:rsidRDefault="008C7868" w:rsidP="008C7868">
      <w:pPr>
        <w:ind w:left="567" w:hanging="567"/>
        <w:jc w:val="both"/>
        <w:rPr>
          <w:rFonts w:ascii="Times New Roman" w:hAnsi="Times New Roman" w:cs="Times New Roman"/>
          <w:sz w:val="24"/>
          <w:szCs w:val="24"/>
          <w:lang w:val="en-US"/>
        </w:rPr>
      </w:pPr>
      <w:r w:rsidRPr="00F17126">
        <w:rPr>
          <w:rFonts w:ascii="Times New Roman" w:hAnsi="Times New Roman" w:cs="Times New Roman"/>
          <w:sz w:val="24"/>
          <w:szCs w:val="24"/>
          <w:lang w:val="en-US"/>
        </w:rPr>
        <w:lastRenderedPageBreak/>
        <w:t>OECD 2015. “Climate Financing Momentum Builds</w:t>
      </w:r>
      <w:r>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available from: </w:t>
      </w:r>
      <w:hyperlink r:id="rId11" w:history="1">
        <w:r w:rsidRPr="00F17126">
          <w:rPr>
            <w:rStyle w:val="Hyperlink"/>
            <w:rFonts w:ascii="Times New Roman" w:hAnsi="Times New Roman" w:cs="Times New Roman"/>
            <w:sz w:val="24"/>
            <w:szCs w:val="24"/>
            <w:lang w:val="en-US"/>
          </w:rPr>
          <w:t>http://www.oecd.org/environment/climate-financing-momentum-builds.htm</w:t>
        </w:r>
      </w:hyperlink>
      <w:r w:rsidRPr="00F17126">
        <w:rPr>
          <w:rFonts w:ascii="Times New Roman" w:hAnsi="Times New Roman" w:cs="Times New Roman"/>
          <w:sz w:val="24"/>
          <w:szCs w:val="24"/>
          <w:lang w:val="en-US"/>
        </w:rPr>
        <w:t xml:space="preserve"> (accessed 08.08.2018.</w:t>
      </w:r>
    </w:p>
    <w:p w14:paraId="640AA76C"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nb-NO"/>
        </w:rPr>
        <w:t xml:space="preserve">Parker, C. F., Karlsson, C., &amp; Hjerpe, M. (2015). </w:t>
      </w:r>
      <w:r w:rsidRPr="008C7868">
        <w:rPr>
          <w:rFonts w:ascii="Times New Roman" w:hAnsi="Times New Roman" w:cs="Times New Roman"/>
          <w:sz w:val="24"/>
          <w:szCs w:val="24"/>
          <w:lang w:val="en-US"/>
        </w:rPr>
        <w:t>Climate change leaders and followers: Leadership recognition and selection in the UNFCCC negotiations. International Relations, 29(4), 434-454.</w:t>
      </w:r>
    </w:p>
    <w:p w14:paraId="1BBAFF3F"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F17126">
        <w:rPr>
          <w:rFonts w:ascii="Times New Roman" w:hAnsi="Times New Roman" w:cs="Times New Roman"/>
          <w:sz w:val="24"/>
          <w:szCs w:val="24"/>
          <w:lang w:val="en-US"/>
        </w:rPr>
        <w:t>P</w:t>
      </w:r>
      <w:r>
        <w:rPr>
          <w:rFonts w:ascii="Times New Roman" w:hAnsi="Times New Roman" w:cs="Times New Roman"/>
          <w:sz w:val="24"/>
          <w:szCs w:val="24"/>
          <w:lang w:val="en-US"/>
        </w:rPr>
        <w:t>ew</w:t>
      </w:r>
      <w:r w:rsidRPr="00F17126">
        <w:rPr>
          <w:rFonts w:ascii="Times New Roman" w:hAnsi="Times New Roman" w:cs="Times New Roman"/>
          <w:sz w:val="24"/>
          <w:szCs w:val="24"/>
          <w:lang w:val="en-US"/>
        </w:rPr>
        <w:t xml:space="preserve"> Research Center 2016. </w:t>
      </w:r>
      <w:hyperlink r:id="rId12" w:history="1">
        <w:r w:rsidRPr="00F17126">
          <w:rPr>
            <w:rStyle w:val="Hyperlink"/>
            <w:rFonts w:ascii="Times New Roman" w:hAnsi="Times New Roman" w:cs="Times New Roman"/>
            <w:sz w:val="24"/>
            <w:szCs w:val="24"/>
            <w:lang w:val="en-US"/>
          </w:rPr>
          <w:t>http://www.pewinternet.org/2016/10/04/public-views-on-climate-chang</w:t>
        </w:r>
        <w:r w:rsidRPr="00F17126">
          <w:rPr>
            <w:rStyle w:val="Hyperlink"/>
            <w:lang w:val="en-US"/>
          </w:rPr>
          <w:t>e-and-climate-scientists/</w:t>
        </w:r>
      </w:hyperlink>
    </w:p>
    <w:p w14:paraId="07C5B7F9"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de-DE"/>
        </w:rPr>
        <w:t xml:space="preserve">Raftery, A. E., Zimmer, A., Frierson, D. M., Startz, R., &amp; Liu, P. (2017). </w:t>
      </w:r>
      <w:r w:rsidRPr="008C7868">
        <w:rPr>
          <w:rFonts w:ascii="Times New Roman" w:hAnsi="Times New Roman" w:cs="Times New Roman"/>
          <w:sz w:val="24"/>
          <w:szCs w:val="24"/>
          <w:lang w:val="en-US"/>
        </w:rPr>
        <w:t>Less than 2 C warming by 2100 unlikely. Nature Climate Change, 7(9), 637.</w:t>
      </w:r>
    </w:p>
    <w:p w14:paraId="472F87D9"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Rajamani, L. (2016). Ambition and differentiation in the 2015 Paris Agreement: Interpretative possibilities and underlying politics. International and Comparative Law Quarterly, 65(2), 493-514.</w:t>
      </w:r>
    </w:p>
    <w:p w14:paraId="057B791C"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Rajamani, L., &amp; Guerin, E. (2017). Central Concepts in the Paris Agreement and How They Evolved. In D. R. Klein, M. P. Carazo, M. Doelle, J. Bulmer, &amp; A. Higham (Eds.), The Paris Agreement on Climate Change. Analysis and Commentary (pp. 74-90). Oxford: Oxford University Press.</w:t>
      </w:r>
    </w:p>
    <w:p w14:paraId="6CE1E283" w14:textId="7A7D67B0"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Rogelj, J., Den Elzen, M., Höhne, N., Fransen, T., Fekete, H., Winkler, H., et al. (2016). Paris Agreement climate proposals need a boost to keep warming well below 2 C. Nature, 534(7609), 631-639.</w:t>
      </w:r>
    </w:p>
    <w:p w14:paraId="68103934" w14:textId="77777777" w:rsidR="008C7868" w:rsidRPr="00F17126" w:rsidRDefault="008C7868" w:rsidP="008C7868">
      <w:pPr>
        <w:autoSpaceDE w:val="0"/>
        <w:autoSpaceDN w:val="0"/>
        <w:adjustRightInd w:val="0"/>
        <w:spacing w:after="120" w:line="25" w:lineRule="atLeast"/>
        <w:ind w:left="567" w:hanging="567"/>
        <w:rPr>
          <w:rFonts w:ascii="Times New Roman" w:hAnsi="Times New Roman" w:cs="Times New Roman"/>
          <w:sz w:val="24"/>
          <w:szCs w:val="24"/>
          <w:lang w:val="en-US"/>
        </w:rPr>
      </w:pPr>
      <w:r w:rsidRPr="00F17126">
        <w:rPr>
          <w:rFonts w:ascii="Times New Roman" w:hAnsi="Times New Roman" w:cs="Times New Roman"/>
          <w:sz w:val="24"/>
          <w:szCs w:val="24"/>
          <w:lang w:val="en-US"/>
        </w:rPr>
        <w:t>Rodrik, Dani 2007. “The inescapable trilemma of the world economy</w:t>
      </w:r>
      <w:r>
        <w:rPr>
          <w:rFonts w:ascii="Times New Roman" w:hAnsi="Times New Roman" w:cs="Times New Roman"/>
          <w:sz w:val="24"/>
          <w:szCs w:val="24"/>
          <w:lang w:val="en-US"/>
        </w:rPr>
        <w:t>,</w:t>
      </w:r>
      <w:r w:rsidRPr="00F17126">
        <w:rPr>
          <w:rFonts w:ascii="Times New Roman" w:hAnsi="Times New Roman" w:cs="Times New Roman"/>
          <w:sz w:val="24"/>
          <w:szCs w:val="24"/>
          <w:lang w:val="en-US"/>
        </w:rPr>
        <w:t xml:space="preserve">” available from </w:t>
      </w:r>
      <w:hyperlink r:id="rId13" w:history="1">
        <w:r w:rsidRPr="00F17126">
          <w:rPr>
            <w:rStyle w:val="Hyperlink"/>
            <w:rFonts w:ascii="Times New Roman" w:hAnsi="Times New Roman" w:cs="Times New Roman"/>
            <w:sz w:val="24"/>
            <w:szCs w:val="24"/>
            <w:lang w:val="en-US"/>
          </w:rPr>
          <w:t>http://rodrik.typepad.com/dani_rodriks_weblog/2007/06/the-inescapable.html</w:t>
        </w:r>
      </w:hyperlink>
      <w:r w:rsidRPr="00F17126">
        <w:rPr>
          <w:rFonts w:ascii="Times New Roman" w:hAnsi="Times New Roman" w:cs="Times New Roman"/>
          <w:sz w:val="24"/>
          <w:szCs w:val="24"/>
          <w:lang w:val="en-US"/>
        </w:rPr>
        <w:t xml:space="preserve"> (accessed 23 September 2018).</w:t>
      </w:r>
    </w:p>
    <w:p w14:paraId="37FFB6AF"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p>
    <w:p w14:paraId="30BBB666"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Rokkan, S. (1966). Numerical Democracy and Corporate Pluralism. In R. A. Dahl (Ed.), Political Opposition in Western Democracie. New Haven: Yale University Press.</w:t>
      </w:r>
    </w:p>
    <w:p w14:paraId="2C5135CE" w14:textId="77777777" w:rsidR="008C7868" w:rsidRPr="00F16F4A"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nb-NO"/>
        </w:rPr>
      </w:pPr>
      <w:r w:rsidRPr="008C7868">
        <w:rPr>
          <w:rFonts w:ascii="Times New Roman" w:hAnsi="Times New Roman" w:cs="Times New Roman"/>
          <w:sz w:val="24"/>
          <w:szCs w:val="24"/>
          <w:lang w:val="en-US"/>
        </w:rPr>
        <w:t xml:space="preserve">Spash, C. L. (2016). This changes nothing: The Paris agreement to ignore reality. </w:t>
      </w:r>
      <w:r w:rsidRPr="00F16F4A">
        <w:rPr>
          <w:rFonts w:ascii="Times New Roman" w:hAnsi="Times New Roman" w:cs="Times New Roman"/>
          <w:sz w:val="24"/>
          <w:szCs w:val="24"/>
          <w:lang w:val="nb-NO"/>
        </w:rPr>
        <w:t>Globalizations, 13(6), 928-933.</w:t>
      </w:r>
    </w:p>
    <w:p w14:paraId="4289F601"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F16F4A">
        <w:rPr>
          <w:rFonts w:ascii="Times New Roman" w:hAnsi="Times New Roman" w:cs="Times New Roman"/>
          <w:sz w:val="24"/>
          <w:szCs w:val="24"/>
          <w:lang w:val="nb-NO"/>
        </w:rPr>
        <w:t xml:space="preserve">Tørstad, V. (2018). Håndhevelse og legitimitet: en integrativ vurdering av Parisavtalens effektivitet. </w:t>
      </w:r>
      <w:r w:rsidRPr="008C7868">
        <w:rPr>
          <w:rFonts w:ascii="Times New Roman" w:hAnsi="Times New Roman" w:cs="Times New Roman"/>
          <w:sz w:val="24"/>
          <w:szCs w:val="24"/>
          <w:lang w:val="en-US"/>
        </w:rPr>
        <w:t>Internasjonal Politikk, 76(1), 47-72.</w:t>
      </w:r>
    </w:p>
    <w:p w14:paraId="41AF59DB"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Underdal, A. (1980). The Politics of International Fisheries Management: The Case of the North-East Atlantic. Oslo: Scandinavian University Press.</w:t>
      </w:r>
    </w:p>
    <w:p w14:paraId="7F170A0F"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lastRenderedPageBreak/>
        <w:t>Underdal, A., &amp; Wei, T. (2015). Distributive fairness: A mutual recognition approach. Environmental Science &amp; Policy, 51, 35-44.</w:t>
      </w:r>
    </w:p>
    <w:p w14:paraId="6827A8F7" w14:textId="548A0C88"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UNFCCC 2015a. Adoption of the Paris Agreement. Available online at: http://unfccc.int/resource/docs/2015/cop21/eng/10a01.pdf, last accessed May 19, 2017</w:t>
      </w:r>
      <w:r>
        <w:rPr>
          <w:rFonts w:ascii="Times New Roman" w:hAnsi="Times New Roman" w:cs="Times New Roman"/>
          <w:sz w:val="24"/>
          <w:szCs w:val="24"/>
          <w:lang w:val="en-US"/>
        </w:rPr>
        <w:t>.</w:t>
      </w:r>
    </w:p>
    <w:p w14:paraId="31E9EA0B" w14:textId="7A4FF2EF"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Van Asselt, H. (2016). The role of non-state actors in reviewing ambition, implementation, and compliance under the Paris agreement. Climate Law, 6(1-2), 91-108.</w:t>
      </w:r>
    </w:p>
    <w:p w14:paraId="75C486ED" w14:textId="77777777"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Victor, D. G. (2011). Global Warming Gridlock - Creating More Effective Strategies for Protecting the Planet. Camebridge: Camebridge University Press.</w:t>
      </w:r>
    </w:p>
    <w:p w14:paraId="0F7937A0" w14:textId="6835BA49"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Victor, D. G. (2016). Making the Promise of Paris a Reality. In R. N. Stavins, &amp; R. C. Stowe (Eds.), The Paris Agreement and Beyond: International Climate Policy Post-2020. Cambridge, MA: Harvard Project on Climate Agreements.</w:t>
      </w:r>
    </w:p>
    <w:p w14:paraId="70386C51" w14:textId="0FC66D61" w:rsidR="008C7868" w:rsidRP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 xml:space="preserve">Victor, David 2017. “Order from Chaos: America exits the climate stage.” https://www.brookings.edu/blog/order-from-chaos/2017/06/01/america-exits-the-climate-stage/  </w:t>
      </w:r>
    </w:p>
    <w:p w14:paraId="38579C9D" w14:textId="7A91B0E3"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Winkler, H. (2017). Mitigation (Article 4). In D. R. Klein, M. P. Carazo, M. Doelle, J. Bulmer, &amp; A. Higham (Eds.), The Paris Agreement on Climate Change. Analysis and Commentary (pp. 141-166). Oxford: Oxford University Press.</w:t>
      </w:r>
    </w:p>
    <w:p w14:paraId="10909C99" w14:textId="77777777" w:rsidR="008C7868" w:rsidRPr="00F17126" w:rsidRDefault="008C7868" w:rsidP="008C7868">
      <w:pPr>
        <w:autoSpaceDE w:val="0"/>
        <w:autoSpaceDN w:val="0"/>
        <w:adjustRightInd w:val="0"/>
        <w:spacing w:after="120" w:line="25" w:lineRule="atLeast"/>
        <w:ind w:left="567" w:hanging="567"/>
        <w:rPr>
          <w:rFonts w:ascii="Times New Roman" w:hAnsi="Times New Roman" w:cs="Times New Roman"/>
          <w:sz w:val="24"/>
          <w:szCs w:val="24"/>
          <w:lang w:val="en-US"/>
        </w:rPr>
      </w:pPr>
      <w:r w:rsidRPr="00F17126">
        <w:rPr>
          <w:rFonts w:ascii="Times New Roman" w:hAnsi="Times New Roman" w:cs="Times New Roman"/>
          <w:sz w:val="24"/>
          <w:szCs w:val="24"/>
          <w:lang w:val="en-US"/>
        </w:rPr>
        <w:t xml:space="preserve">WRI 2017. </w:t>
      </w:r>
      <w:hyperlink r:id="rId14" w:history="1">
        <w:r w:rsidRPr="00F17126">
          <w:rPr>
            <w:rStyle w:val="Hyperlink"/>
            <w:rFonts w:ascii="Times New Roman" w:hAnsi="Times New Roman" w:cs="Times New Roman"/>
            <w:sz w:val="24"/>
            <w:szCs w:val="24"/>
            <w:lang w:val="en-US"/>
          </w:rPr>
          <w:t>https://www.wri.org/blog/2017/04/interactive-chart-explains-worlds-top-10-emitters</w:t>
        </w:r>
      </w:hyperlink>
    </w:p>
    <w:p w14:paraId="0E02811D" w14:textId="3BB79FBB" w:rsidR="008C7868" w:rsidRDefault="008C7868" w:rsidP="008C7868">
      <w:pPr>
        <w:autoSpaceDE w:val="0"/>
        <w:autoSpaceDN w:val="0"/>
        <w:adjustRightInd w:val="0"/>
        <w:spacing w:after="120" w:line="360" w:lineRule="auto"/>
        <w:ind w:left="567" w:hanging="567"/>
        <w:rPr>
          <w:rFonts w:ascii="Times New Roman" w:hAnsi="Times New Roman" w:cs="Times New Roman"/>
          <w:sz w:val="24"/>
          <w:szCs w:val="24"/>
          <w:lang w:val="en-US"/>
        </w:rPr>
      </w:pPr>
      <w:r w:rsidRPr="008C7868">
        <w:rPr>
          <w:rFonts w:ascii="Times New Roman" w:hAnsi="Times New Roman" w:cs="Times New Roman"/>
          <w:sz w:val="24"/>
          <w:szCs w:val="24"/>
          <w:lang w:val="en-US"/>
        </w:rPr>
        <w:t>Young, O. R. (2016). The Paris Agreement: Destined to Succeed or Doomed to Fail? Politics and Governance, 4(3), 124-132.</w:t>
      </w:r>
    </w:p>
    <w:sectPr w:rsidR="008C7868">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F80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F8049" w16cid:durableId="1F5608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9E05C" w14:textId="77777777" w:rsidR="00F8716B" w:rsidRDefault="00F8716B">
      <w:pPr>
        <w:spacing w:after="0" w:line="240" w:lineRule="auto"/>
      </w:pPr>
      <w:r>
        <w:separator/>
      </w:r>
    </w:p>
  </w:endnote>
  <w:endnote w:type="continuationSeparator" w:id="0">
    <w:p w14:paraId="36E5017F" w14:textId="77777777" w:rsidR="00F8716B" w:rsidRDefault="00F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61811"/>
      <w:docPartObj>
        <w:docPartGallery w:val="Page Numbers (Bottom of Page)"/>
        <w:docPartUnique/>
      </w:docPartObj>
    </w:sdtPr>
    <w:sdtEndPr/>
    <w:sdtContent>
      <w:p w14:paraId="411F06B0" w14:textId="7EEA77C4" w:rsidR="002A48EE" w:rsidRDefault="002A48EE">
        <w:pPr>
          <w:pStyle w:val="Footer"/>
          <w:jc w:val="center"/>
        </w:pPr>
        <w:r>
          <w:fldChar w:fldCharType="begin"/>
        </w:r>
        <w:r>
          <w:instrText>PAGE   \* MERGEFORMAT</w:instrText>
        </w:r>
        <w:r>
          <w:fldChar w:fldCharType="separate"/>
        </w:r>
        <w:r w:rsidR="003970C9" w:rsidRPr="003970C9">
          <w:rPr>
            <w:noProof/>
            <w:lang w:val="nb-NO"/>
          </w:rPr>
          <w:t>1</w:t>
        </w:r>
        <w:r>
          <w:fldChar w:fldCharType="end"/>
        </w:r>
      </w:p>
    </w:sdtContent>
  </w:sdt>
  <w:p w14:paraId="64E94F1D" w14:textId="77777777" w:rsidR="002A48EE" w:rsidRDefault="002A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7536C" w14:textId="77777777" w:rsidR="00F8716B" w:rsidRDefault="00F8716B">
      <w:pPr>
        <w:spacing w:after="0" w:line="240" w:lineRule="auto"/>
      </w:pPr>
      <w:r>
        <w:separator/>
      </w:r>
    </w:p>
  </w:footnote>
  <w:footnote w:type="continuationSeparator" w:id="0">
    <w:p w14:paraId="248B8878" w14:textId="77777777" w:rsidR="00F8716B" w:rsidRDefault="00F8716B">
      <w:pPr>
        <w:spacing w:after="0" w:line="240" w:lineRule="auto"/>
      </w:pPr>
      <w:r>
        <w:continuationSeparator/>
      </w:r>
    </w:p>
  </w:footnote>
  <w:footnote w:id="1">
    <w:p w14:paraId="2365A28F" w14:textId="700E9F35" w:rsidR="00F525C8" w:rsidRPr="004440E2" w:rsidRDefault="00F525C8" w:rsidP="00F525C8">
      <w:pPr>
        <w:pStyle w:val="FootnoteText"/>
        <w:spacing w:after="120"/>
        <w:rPr>
          <w:rFonts w:ascii="Times New Roman" w:hAnsi="Times New Roman" w:cs="Times New Roman"/>
        </w:rPr>
      </w:pPr>
      <w:r w:rsidRPr="004440E2">
        <w:rPr>
          <w:rStyle w:val="FootnoteReference"/>
          <w:rFonts w:ascii="Times New Roman" w:hAnsi="Times New Roman" w:cs="Times New Roman"/>
        </w:rPr>
        <w:footnoteRef/>
      </w:r>
      <w:r w:rsidRPr="004440E2">
        <w:rPr>
          <w:rFonts w:ascii="Times New Roman" w:hAnsi="Times New Roman" w:cs="Times New Roman"/>
        </w:rPr>
        <w:t xml:space="preserve"> The Paris outcome included not only the PA but also an accompanying decision by the Conference of the </w:t>
      </w:r>
      <w:r w:rsidR="00777C40">
        <w:rPr>
          <w:rFonts w:ascii="Times New Roman" w:hAnsi="Times New Roman" w:cs="Times New Roman"/>
        </w:rPr>
        <w:t>Parties</w:t>
      </w:r>
      <w:r w:rsidRPr="004440E2">
        <w:rPr>
          <w:rFonts w:ascii="Times New Roman" w:hAnsi="Times New Roman" w:cs="Times New Roman"/>
        </w:rPr>
        <w:t xml:space="preserve"> (COP). This paper focuses on the PA.</w:t>
      </w:r>
    </w:p>
  </w:footnote>
  <w:footnote w:id="2">
    <w:p w14:paraId="3007FD2A" w14:textId="77777777" w:rsidR="00F525C8" w:rsidRPr="004440E2" w:rsidRDefault="00F525C8" w:rsidP="00F525C8">
      <w:pPr>
        <w:pStyle w:val="FootnoteText"/>
        <w:spacing w:after="120"/>
        <w:rPr>
          <w:rFonts w:ascii="Times New Roman" w:hAnsi="Times New Roman" w:cs="Times New Roman"/>
        </w:rPr>
      </w:pPr>
      <w:r w:rsidRPr="004440E2">
        <w:rPr>
          <w:rStyle w:val="FootnoteReference"/>
          <w:rFonts w:ascii="Times New Roman" w:hAnsi="Times New Roman" w:cs="Times New Roman"/>
        </w:rPr>
        <w:footnoteRef/>
      </w:r>
      <w:r w:rsidRPr="004440E2">
        <w:rPr>
          <w:rFonts w:ascii="Times New Roman" w:hAnsi="Times New Roman" w:cs="Times New Roman"/>
        </w:rPr>
        <w:t xml:space="preserve"> </w:t>
      </w:r>
      <w:hyperlink r:id="rId1" w:history="1">
        <w:r w:rsidRPr="004440E2">
          <w:rPr>
            <w:rStyle w:val="Hyperlink"/>
            <w:rFonts w:ascii="Times New Roman" w:hAnsi="Times New Roman" w:cs="Times New Roman"/>
          </w:rPr>
          <w:t>https://www.nobelprize.org/prizes/economics/1999/mundell/facts/</w:t>
        </w:r>
      </w:hyperlink>
      <w:r w:rsidRPr="004440E2">
        <w:rPr>
          <w:rFonts w:ascii="Times New Roman" w:hAnsi="Times New Roman" w:cs="Times New Roman"/>
        </w:rPr>
        <w:t xml:space="preserve">  (accessed 28 August 2018).</w:t>
      </w:r>
    </w:p>
  </w:footnote>
  <w:footnote w:id="3">
    <w:p w14:paraId="70D1F59F" w14:textId="77777777" w:rsidR="00F525C8" w:rsidRPr="004440E2" w:rsidRDefault="00F525C8" w:rsidP="00F525C8">
      <w:pPr>
        <w:pStyle w:val="FootnoteText"/>
        <w:spacing w:after="120"/>
        <w:rPr>
          <w:rFonts w:ascii="Times New Roman" w:hAnsi="Times New Roman" w:cs="Times New Roman"/>
          <w:lang w:val="en-US"/>
        </w:rPr>
      </w:pPr>
      <w:r w:rsidRPr="004440E2">
        <w:rPr>
          <w:rStyle w:val="FootnoteReference"/>
          <w:rFonts w:ascii="Times New Roman" w:hAnsi="Times New Roman" w:cs="Times New Roman"/>
        </w:rPr>
        <w:footnoteRef/>
      </w:r>
      <w:r w:rsidRPr="004440E2">
        <w:rPr>
          <w:rFonts w:ascii="Times New Roman" w:hAnsi="Times New Roman" w:cs="Times New Roman"/>
          <w:lang w:val="en-US"/>
        </w:rPr>
        <w:t xml:space="preserve"> Here, a winning coalition refers to a group of states – possibly supported by non-governmental actors – who can, by own or collaborative efforts, achieve the more ambitious goals that they have set for themselves.  </w:t>
      </w:r>
    </w:p>
  </w:footnote>
  <w:footnote w:id="4">
    <w:p w14:paraId="4CBC997F" w14:textId="77777777" w:rsidR="00F525C8" w:rsidRPr="004440E2" w:rsidRDefault="00F525C8" w:rsidP="00F525C8">
      <w:pPr>
        <w:pStyle w:val="FootnoteText"/>
        <w:spacing w:after="120"/>
        <w:rPr>
          <w:rFonts w:ascii="Times New Roman" w:hAnsi="Times New Roman" w:cs="Times New Roman"/>
        </w:rPr>
      </w:pPr>
      <w:r w:rsidRPr="004440E2">
        <w:rPr>
          <w:rStyle w:val="FootnoteReference"/>
          <w:rFonts w:ascii="Times New Roman" w:hAnsi="Times New Roman" w:cs="Times New Roman"/>
        </w:rPr>
        <w:footnoteRef/>
      </w:r>
      <w:r w:rsidRPr="004440E2">
        <w:rPr>
          <w:rFonts w:ascii="Times New Roman" w:hAnsi="Times New Roman" w:cs="Times New Roman"/>
        </w:rPr>
        <w:t xml:space="preserve"> The latter point also includes nationally determined contributions </w:t>
      </w:r>
      <w:r>
        <w:rPr>
          <w:rFonts w:ascii="Times New Roman" w:hAnsi="Times New Roman" w:cs="Times New Roman"/>
        </w:rPr>
        <w:t>to</w:t>
      </w:r>
      <w:r w:rsidRPr="004440E2">
        <w:rPr>
          <w:rFonts w:ascii="Times New Roman" w:hAnsi="Times New Roman" w:cs="Times New Roman"/>
        </w:rPr>
        <w:t xml:space="preserve"> </w:t>
      </w:r>
      <w:r>
        <w:rPr>
          <w:rFonts w:ascii="Times New Roman" w:hAnsi="Times New Roman" w:cs="Times New Roman"/>
        </w:rPr>
        <w:t xml:space="preserve">climate </w:t>
      </w:r>
      <w:r w:rsidRPr="004440E2">
        <w:rPr>
          <w:rFonts w:ascii="Times New Roman" w:hAnsi="Times New Roman" w:cs="Times New Roman"/>
        </w:rPr>
        <w:t>finance; however, we here focus on mitigation.</w:t>
      </w:r>
    </w:p>
  </w:footnote>
  <w:footnote w:id="5">
    <w:p w14:paraId="41FBE9BF" w14:textId="72AEBD15" w:rsidR="00544D8A" w:rsidRPr="004440E2" w:rsidRDefault="00544D8A" w:rsidP="00544D8A">
      <w:pPr>
        <w:pStyle w:val="FootnoteText"/>
        <w:spacing w:after="120"/>
        <w:rPr>
          <w:rFonts w:ascii="Times New Roman" w:hAnsi="Times New Roman" w:cs="Times New Roman"/>
        </w:rPr>
      </w:pPr>
      <w:r w:rsidRPr="004440E2">
        <w:rPr>
          <w:rStyle w:val="FootnoteReference"/>
          <w:rFonts w:ascii="Times New Roman" w:hAnsi="Times New Roman" w:cs="Times New Roman"/>
        </w:rPr>
        <w:footnoteRef/>
      </w:r>
      <w:r w:rsidRPr="004440E2">
        <w:rPr>
          <w:rFonts w:ascii="Times New Roman" w:hAnsi="Times New Roman" w:cs="Times New Roman"/>
        </w:rPr>
        <w:t xml:space="preserve"> However, article 4.2 obliges </w:t>
      </w:r>
      <w:r w:rsidR="00777C40">
        <w:rPr>
          <w:rFonts w:ascii="Times New Roman" w:hAnsi="Times New Roman" w:cs="Times New Roman"/>
        </w:rPr>
        <w:t>Parties</w:t>
      </w:r>
      <w:r w:rsidRPr="004440E2">
        <w:rPr>
          <w:rFonts w:ascii="Times New Roman" w:hAnsi="Times New Roman" w:cs="Times New Roman"/>
        </w:rPr>
        <w:t xml:space="preserve"> to “pursue domestic mitigation measures, with the aim of achieving the objectives of such contributions”</w:t>
      </w:r>
      <w:r>
        <w:rPr>
          <w:rFonts w:ascii="Times New Roman" w:hAnsi="Times New Roman" w:cs="Times New Roman"/>
        </w:rPr>
        <w:t xml:space="preserve"> (i.e., </w:t>
      </w:r>
      <w:r w:rsidRPr="004440E2">
        <w:rPr>
          <w:rFonts w:ascii="Times New Roman" w:hAnsi="Times New Roman" w:cs="Times New Roman"/>
        </w:rPr>
        <w:t>NDCs</w:t>
      </w:r>
      <w:r>
        <w:rPr>
          <w:rFonts w:ascii="Times New Roman" w:hAnsi="Times New Roman" w:cs="Times New Roman"/>
        </w:rPr>
        <w:t>)</w:t>
      </w:r>
      <w:r w:rsidRPr="004440E2">
        <w:rPr>
          <w:rFonts w:ascii="Times New Roman" w:hAnsi="Times New Roman" w:cs="Times New Roman"/>
        </w:rPr>
        <w:t>.</w:t>
      </w:r>
    </w:p>
  </w:footnote>
  <w:footnote w:id="6">
    <w:p w14:paraId="11E70865" w14:textId="77777777" w:rsidR="00544D8A" w:rsidRPr="004440E2" w:rsidRDefault="00544D8A" w:rsidP="00544D8A">
      <w:pPr>
        <w:pStyle w:val="FootnoteText"/>
        <w:spacing w:after="120"/>
        <w:rPr>
          <w:rFonts w:ascii="Times New Roman" w:hAnsi="Times New Roman" w:cs="Times New Roman"/>
          <w:lang w:val="en-US"/>
        </w:rPr>
      </w:pPr>
      <w:r w:rsidRPr="004440E2">
        <w:rPr>
          <w:rStyle w:val="FootnoteReference"/>
          <w:rFonts w:ascii="Times New Roman" w:hAnsi="Times New Roman" w:cs="Times New Roman"/>
        </w:rPr>
        <w:footnoteRef/>
      </w:r>
      <w:r w:rsidRPr="004440E2">
        <w:rPr>
          <w:rFonts w:ascii="Times New Roman" w:hAnsi="Times New Roman" w:cs="Times New Roman"/>
        </w:rPr>
        <w:t xml:space="preserve"> </w:t>
      </w:r>
      <w:r w:rsidRPr="004440E2">
        <w:rPr>
          <w:rFonts w:ascii="Times New Roman" w:hAnsi="Times New Roman" w:cs="Times New Roman"/>
          <w:lang w:val="en-US"/>
        </w:rPr>
        <w:t xml:space="preserve">While Falkner no doubt has a good point, it is worth noting that Germany – a global champion of ambitious climate policy – recently gave up on its </w:t>
      </w:r>
      <w:r w:rsidRPr="004440E2">
        <w:rPr>
          <w:rFonts w:ascii="Times New Roman" w:hAnsi="Times New Roman" w:cs="Times New Roman"/>
          <w:i/>
          <w:lang w:val="en-US"/>
        </w:rPr>
        <w:t>self-imposed</w:t>
      </w:r>
      <w:r w:rsidRPr="004440E2">
        <w:rPr>
          <w:rFonts w:ascii="Times New Roman" w:hAnsi="Times New Roman" w:cs="Times New Roman"/>
          <w:lang w:val="en-US"/>
        </w:rPr>
        <w:t xml:space="preserve"> target of reducing emissions 30% below 1990 levels by 2020. See </w:t>
      </w:r>
      <w:hyperlink r:id="rId2" w:history="1">
        <w:r w:rsidRPr="004440E2">
          <w:rPr>
            <w:rStyle w:val="Hyperlink"/>
            <w:rFonts w:ascii="Times New Roman" w:hAnsi="Times New Roman" w:cs="Times New Roman"/>
            <w:lang w:val="en-US"/>
          </w:rPr>
          <w:t>https://qz.com/1175308/germany-is-abandoning-its-climate-goals-for-2020-what-happens-next/</w:t>
        </w:r>
      </w:hyperlink>
      <w:r w:rsidRPr="004440E2">
        <w:rPr>
          <w:rFonts w:ascii="Times New Roman" w:hAnsi="Times New Roman" w:cs="Times New Roman"/>
          <w:lang w:val="en-US"/>
        </w:rPr>
        <w:t xml:space="preserve"> (accessed 07.08.2018).</w:t>
      </w:r>
    </w:p>
  </w:footnote>
  <w:footnote w:id="7">
    <w:p w14:paraId="2DD24AA4" w14:textId="7E168FDD" w:rsidR="00544D8A" w:rsidRPr="004440E2" w:rsidRDefault="00544D8A" w:rsidP="00544D8A">
      <w:pPr>
        <w:pStyle w:val="FootnoteText"/>
        <w:spacing w:after="120"/>
        <w:rPr>
          <w:rFonts w:ascii="Times New Roman" w:hAnsi="Times New Roman" w:cs="Times New Roman"/>
          <w:lang w:val="en-US"/>
        </w:rPr>
      </w:pPr>
      <w:r w:rsidRPr="004440E2">
        <w:rPr>
          <w:rStyle w:val="FootnoteReference"/>
          <w:rFonts w:ascii="Times New Roman" w:hAnsi="Times New Roman" w:cs="Times New Roman"/>
        </w:rPr>
        <w:footnoteRef/>
      </w:r>
      <w:r w:rsidRPr="004440E2">
        <w:rPr>
          <w:rFonts w:ascii="Times New Roman" w:hAnsi="Times New Roman" w:cs="Times New Roman"/>
        </w:rPr>
        <w:t xml:space="preserve"> Karlsson-Vinkhuyzen et al. (2017) identify four main </w:t>
      </w:r>
      <w:r w:rsidR="00687D51">
        <w:rPr>
          <w:rFonts w:ascii="Times New Roman" w:hAnsi="Times New Roman" w:cs="Times New Roman"/>
        </w:rPr>
        <w:t>sources of</w:t>
      </w:r>
      <w:r w:rsidRPr="004440E2">
        <w:rPr>
          <w:rFonts w:ascii="Times New Roman" w:hAnsi="Times New Roman" w:cs="Times New Roman"/>
        </w:rPr>
        <w:t xml:space="preserve"> transparency: formal review procedures </w:t>
      </w:r>
      <w:r w:rsidR="00687D51">
        <w:rPr>
          <w:rFonts w:ascii="Times New Roman" w:hAnsi="Times New Roman" w:cs="Times New Roman"/>
        </w:rPr>
        <w:t xml:space="preserve">based on peer-to-peer accountability; </w:t>
      </w:r>
      <w:r w:rsidRPr="004440E2">
        <w:rPr>
          <w:rFonts w:ascii="Times New Roman" w:hAnsi="Times New Roman" w:cs="Times New Roman"/>
        </w:rPr>
        <w:t xml:space="preserve">national and regional institutions </w:t>
      </w:r>
      <w:r w:rsidR="00687D51">
        <w:rPr>
          <w:rFonts w:ascii="Times New Roman" w:hAnsi="Times New Roman" w:cs="Times New Roman"/>
        </w:rPr>
        <w:t>such as</w:t>
      </w:r>
      <w:r w:rsidRPr="004440E2">
        <w:rPr>
          <w:rFonts w:ascii="Times New Roman" w:hAnsi="Times New Roman" w:cs="Times New Roman"/>
        </w:rPr>
        <w:t xml:space="preserve"> the European Commission, national parliaments</w:t>
      </w:r>
      <w:r w:rsidR="00687D51">
        <w:rPr>
          <w:rFonts w:ascii="Times New Roman" w:hAnsi="Times New Roman" w:cs="Times New Roman"/>
        </w:rPr>
        <w:t xml:space="preserve"> or</w:t>
      </w:r>
      <w:r w:rsidRPr="004440E2">
        <w:rPr>
          <w:rFonts w:ascii="Times New Roman" w:hAnsi="Times New Roman" w:cs="Times New Roman"/>
        </w:rPr>
        <w:t xml:space="preserve"> inspection agencies</w:t>
      </w:r>
      <w:r w:rsidR="00687D51">
        <w:rPr>
          <w:rFonts w:ascii="Times New Roman" w:hAnsi="Times New Roman" w:cs="Times New Roman"/>
        </w:rPr>
        <w:t xml:space="preserve">; </w:t>
      </w:r>
      <w:r w:rsidRPr="004440E2">
        <w:rPr>
          <w:rFonts w:ascii="Times New Roman" w:hAnsi="Times New Roman" w:cs="Times New Roman"/>
        </w:rPr>
        <w:t xml:space="preserve">citizens and NGOs using COPs, other international forums, and social media to </w:t>
      </w:r>
      <w:r w:rsidR="00687D51">
        <w:rPr>
          <w:rFonts w:ascii="Times New Roman" w:hAnsi="Times New Roman" w:cs="Times New Roman"/>
        </w:rPr>
        <w:t xml:space="preserve">sound alerts; and </w:t>
      </w:r>
      <w:r w:rsidRPr="004440E2">
        <w:rPr>
          <w:rFonts w:ascii="Times New Roman" w:hAnsi="Times New Roman" w:cs="Times New Roman"/>
        </w:rPr>
        <w:t>governments hold</w:t>
      </w:r>
      <w:r w:rsidR="00687D51">
        <w:rPr>
          <w:rFonts w:ascii="Times New Roman" w:hAnsi="Times New Roman" w:cs="Times New Roman"/>
        </w:rPr>
        <w:t>ing</w:t>
      </w:r>
      <w:r w:rsidRPr="004440E2">
        <w:rPr>
          <w:rFonts w:ascii="Times New Roman" w:hAnsi="Times New Roman" w:cs="Times New Roman"/>
        </w:rPr>
        <w:t xml:space="preserve"> themselves to account</w:t>
      </w:r>
      <w:r w:rsidR="00687D51">
        <w:rPr>
          <w:rFonts w:ascii="Times New Roman" w:hAnsi="Times New Roman" w:cs="Times New Roman"/>
        </w:rPr>
        <w:t xml:space="preserve"> through</w:t>
      </w:r>
      <w:r w:rsidRPr="004440E2">
        <w:rPr>
          <w:rFonts w:ascii="Times New Roman" w:hAnsi="Times New Roman" w:cs="Times New Roman"/>
        </w:rPr>
        <w:t xml:space="preserve"> internal systems of monitoring and policy evaluation.</w:t>
      </w:r>
    </w:p>
  </w:footnote>
  <w:footnote w:id="8">
    <w:p w14:paraId="43C5B66A" w14:textId="77777777" w:rsidR="00544D8A" w:rsidRPr="004440E2" w:rsidRDefault="00544D8A" w:rsidP="00544D8A">
      <w:pPr>
        <w:pStyle w:val="FootnoteText"/>
        <w:spacing w:after="120"/>
        <w:rPr>
          <w:rFonts w:ascii="Times New Roman" w:hAnsi="Times New Roman" w:cs="Times New Roman"/>
        </w:rPr>
      </w:pPr>
      <w:r w:rsidRPr="004440E2">
        <w:rPr>
          <w:rStyle w:val="FootnoteReference"/>
          <w:rFonts w:ascii="Times New Roman" w:hAnsi="Times New Roman" w:cs="Times New Roman"/>
        </w:rPr>
        <w:footnoteRef/>
      </w:r>
      <w:r w:rsidRPr="004440E2">
        <w:rPr>
          <w:rFonts w:ascii="Times New Roman" w:hAnsi="Times New Roman" w:cs="Times New Roman"/>
        </w:rPr>
        <w:t xml:space="preserve"> Still, the EU is currently in the process of ratcheting up its NDC from reducing emissions 40% below 1990 levels by 2030 to reducing them 45%. See </w:t>
      </w:r>
      <w:hyperlink r:id="rId3" w:history="1">
        <w:r w:rsidRPr="004440E2">
          <w:rPr>
            <w:rStyle w:val="Hyperlink"/>
            <w:rFonts w:ascii="Times New Roman" w:hAnsi="Times New Roman" w:cs="Times New Roman"/>
          </w:rPr>
          <w:t>http://www.climatechangenews.com/2018/06/20/eu-will-increase-pledge-paris-agreement-says-canete/</w:t>
        </w:r>
      </w:hyperlink>
      <w:r w:rsidRPr="004440E2">
        <w:rPr>
          <w:rFonts w:ascii="Times New Roman" w:hAnsi="Times New Roman" w:cs="Times New Roman"/>
        </w:rPr>
        <w:t xml:space="preserve"> (accessed 22 September 2018).</w:t>
      </w:r>
    </w:p>
  </w:footnote>
  <w:footnote w:id="9">
    <w:p w14:paraId="03DCAA9D" w14:textId="0702EFF0" w:rsidR="00544D8A" w:rsidRPr="00874067" w:rsidRDefault="00544D8A" w:rsidP="00544D8A">
      <w:pPr>
        <w:pStyle w:val="FootnoteText"/>
        <w:spacing w:after="120"/>
        <w:rPr>
          <w:rFonts w:ascii="Times New Roman" w:hAnsi="Times New Roman" w:cs="Times New Roman"/>
          <w:lang w:val="en-US"/>
        </w:rPr>
      </w:pPr>
      <w:r w:rsidRPr="004440E2">
        <w:rPr>
          <w:rStyle w:val="FootnoteReference"/>
          <w:rFonts w:ascii="Times New Roman" w:hAnsi="Times New Roman" w:cs="Times New Roman"/>
        </w:rPr>
        <w:footnoteRef/>
      </w:r>
      <w:r w:rsidRPr="004440E2">
        <w:rPr>
          <w:rFonts w:ascii="Times New Roman" w:hAnsi="Times New Roman" w:cs="Times New Roman"/>
        </w:rPr>
        <w:t xml:space="preserve"> Keohane and Oppenheimer (2016) </w:t>
      </w:r>
      <w:r w:rsidR="00FE635F">
        <w:rPr>
          <w:rFonts w:ascii="Times New Roman" w:hAnsi="Times New Roman" w:cs="Times New Roman"/>
        </w:rPr>
        <w:t>argue that countries might be motivated to reduce emissions by domestic</w:t>
      </w:r>
      <w:r w:rsidRPr="004440E2">
        <w:rPr>
          <w:rFonts w:ascii="Times New Roman" w:hAnsi="Times New Roman" w:cs="Times New Roman"/>
        </w:rPr>
        <w:t xml:space="preserve"> </w:t>
      </w:r>
      <w:r w:rsidR="00FE635F">
        <w:rPr>
          <w:rFonts w:ascii="Times New Roman" w:hAnsi="Times New Roman" w:cs="Times New Roman"/>
        </w:rPr>
        <w:t>side benefits</w:t>
      </w:r>
      <w:r w:rsidRPr="004440E2">
        <w:rPr>
          <w:rFonts w:ascii="Times New Roman" w:hAnsi="Times New Roman" w:cs="Times New Roman"/>
        </w:rPr>
        <w:t>; pressu</w:t>
      </w:r>
      <w:r w:rsidR="00FE635F">
        <w:rPr>
          <w:rFonts w:ascii="Times New Roman" w:hAnsi="Times New Roman" w:cs="Times New Roman"/>
        </w:rPr>
        <w:t>re from domestic constituencies</w:t>
      </w:r>
      <w:r w:rsidRPr="004440E2">
        <w:rPr>
          <w:rFonts w:ascii="Times New Roman" w:hAnsi="Times New Roman" w:cs="Times New Roman"/>
        </w:rPr>
        <w:t xml:space="preserve">; “specific” </w:t>
      </w:r>
      <w:r w:rsidR="00FE635F">
        <w:rPr>
          <w:rFonts w:ascii="Times New Roman" w:hAnsi="Times New Roman" w:cs="Times New Roman"/>
        </w:rPr>
        <w:t xml:space="preserve">or “diffuse” </w:t>
      </w:r>
      <w:r w:rsidRPr="004440E2">
        <w:rPr>
          <w:rFonts w:ascii="Times New Roman" w:hAnsi="Times New Roman" w:cs="Times New Roman"/>
        </w:rPr>
        <w:t xml:space="preserve">rewards from other countries; </w:t>
      </w:r>
      <w:r w:rsidR="00FE635F">
        <w:rPr>
          <w:rFonts w:ascii="Times New Roman" w:hAnsi="Times New Roman" w:cs="Times New Roman"/>
        </w:rPr>
        <w:t>and</w:t>
      </w:r>
      <w:r w:rsidRPr="004440E2">
        <w:rPr>
          <w:rFonts w:ascii="Times New Roman" w:hAnsi="Times New Roman" w:cs="Times New Roman"/>
        </w:rPr>
        <w:t xml:space="preserve"> a desire to cultivate their international reputation.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B2134"/>
    <w:multiLevelType w:val="multilevel"/>
    <w:tmpl w:val="F570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åkon Sælen">
    <w15:presenceInfo w15:providerId="AD" w15:userId="S-1-5-21-1927809936-1189766144-1318725885-285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yMzE1MLU0NLMwMTFV0lEKTi0uzszPAykwrgUAh+emSSwAAAA="/>
    <w:docVar w:name="EN.InstantFormat" w:val="&lt;ENInstantFormat&gt;&lt;Enabled&gt;1&lt;/Enabled&gt;&lt;ScanUnformatted&gt;1&lt;/ScanUnformatted&gt;&lt;ScanChanges&gt;1&lt;/ScanChanges&gt;&lt;Suspended&gt;1&lt;/Suspended&gt;&lt;/ENInstantFormat&gt;"/>
  </w:docVars>
  <w:rsids>
    <w:rsidRoot w:val="00976B26"/>
    <w:rsid w:val="000049EB"/>
    <w:rsid w:val="00005C30"/>
    <w:rsid w:val="000114FA"/>
    <w:rsid w:val="000115C7"/>
    <w:rsid w:val="00015B6B"/>
    <w:rsid w:val="0002123D"/>
    <w:rsid w:val="00023894"/>
    <w:rsid w:val="00036B42"/>
    <w:rsid w:val="0004528A"/>
    <w:rsid w:val="00053590"/>
    <w:rsid w:val="000535CE"/>
    <w:rsid w:val="00065CCA"/>
    <w:rsid w:val="00073714"/>
    <w:rsid w:val="000778F1"/>
    <w:rsid w:val="000806A7"/>
    <w:rsid w:val="00082876"/>
    <w:rsid w:val="0009104A"/>
    <w:rsid w:val="00094EBD"/>
    <w:rsid w:val="000B08FE"/>
    <w:rsid w:val="000B27D8"/>
    <w:rsid w:val="000C1F71"/>
    <w:rsid w:val="000C1FD8"/>
    <w:rsid w:val="000C38D9"/>
    <w:rsid w:val="000C48D8"/>
    <w:rsid w:val="000D2DE1"/>
    <w:rsid w:val="000E6057"/>
    <w:rsid w:val="000F42B5"/>
    <w:rsid w:val="00100454"/>
    <w:rsid w:val="00104649"/>
    <w:rsid w:val="001068AF"/>
    <w:rsid w:val="0011084C"/>
    <w:rsid w:val="001167D2"/>
    <w:rsid w:val="0012682A"/>
    <w:rsid w:val="00131B35"/>
    <w:rsid w:val="00134E75"/>
    <w:rsid w:val="001372DC"/>
    <w:rsid w:val="00141857"/>
    <w:rsid w:val="001427C1"/>
    <w:rsid w:val="00142FE8"/>
    <w:rsid w:val="00144925"/>
    <w:rsid w:val="001526C0"/>
    <w:rsid w:val="001629EA"/>
    <w:rsid w:val="00167740"/>
    <w:rsid w:val="00171B51"/>
    <w:rsid w:val="0017451F"/>
    <w:rsid w:val="00180569"/>
    <w:rsid w:val="001847F0"/>
    <w:rsid w:val="00194963"/>
    <w:rsid w:val="0019730B"/>
    <w:rsid w:val="001B7B3A"/>
    <w:rsid w:val="001D0923"/>
    <w:rsid w:val="001D614E"/>
    <w:rsid w:val="001D635F"/>
    <w:rsid w:val="001F0A16"/>
    <w:rsid w:val="001F3919"/>
    <w:rsid w:val="001F40F5"/>
    <w:rsid w:val="0020053C"/>
    <w:rsid w:val="00211600"/>
    <w:rsid w:val="0021469A"/>
    <w:rsid w:val="00224F54"/>
    <w:rsid w:val="00241453"/>
    <w:rsid w:val="00255074"/>
    <w:rsid w:val="002569EB"/>
    <w:rsid w:val="00257D24"/>
    <w:rsid w:val="00263523"/>
    <w:rsid w:val="00287B66"/>
    <w:rsid w:val="00291A1D"/>
    <w:rsid w:val="00292BA2"/>
    <w:rsid w:val="00296C52"/>
    <w:rsid w:val="002A2C70"/>
    <w:rsid w:val="002A48EE"/>
    <w:rsid w:val="002B36F3"/>
    <w:rsid w:val="002B3DB5"/>
    <w:rsid w:val="002B5272"/>
    <w:rsid w:val="002B584E"/>
    <w:rsid w:val="002C70A4"/>
    <w:rsid w:val="002C7108"/>
    <w:rsid w:val="002D00A1"/>
    <w:rsid w:val="002D6837"/>
    <w:rsid w:val="002E5063"/>
    <w:rsid w:val="002F7025"/>
    <w:rsid w:val="003028BC"/>
    <w:rsid w:val="00307A5A"/>
    <w:rsid w:val="0031671B"/>
    <w:rsid w:val="0032091D"/>
    <w:rsid w:val="00323B2B"/>
    <w:rsid w:val="00330D19"/>
    <w:rsid w:val="00333DF7"/>
    <w:rsid w:val="00334C27"/>
    <w:rsid w:val="003431CC"/>
    <w:rsid w:val="003517CA"/>
    <w:rsid w:val="00352973"/>
    <w:rsid w:val="003626F3"/>
    <w:rsid w:val="003634AB"/>
    <w:rsid w:val="00371D26"/>
    <w:rsid w:val="00390B96"/>
    <w:rsid w:val="00396761"/>
    <w:rsid w:val="003970C9"/>
    <w:rsid w:val="003B430D"/>
    <w:rsid w:val="003B48D2"/>
    <w:rsid w:val="003B628B"/>
    <w:rsid w:val="003C21E9"/>
    <w:rsid w:val="003C3AA5"/>
    <w:rsid w:val="003C6DB6"/>
    <w:rsid w:val="003D05BB"/>
    <w:rsid w:val="003D4593"/>
    <w:rsid w:val="003E5C06"/>
    <w:rsid w:val="003E7B36"/>
    <w:rsid w:val="003F6135"/>
    <w:rsid w:val="003F6B7C"/>
    <w:rsid w:val="00403DCF"/>
    <w:rsid w:val="00405D82"/>
    <w:rsid w:val="00411522"/>
    <w:rsid w:val="00415AD9"/>
    <w:rsid w:val="004175D6"/>
    <w:rsid w:val="00422286"/>
    <w:rsid w:val="00431A6A"/>
    <w:rsid w:val="00435C96"/>
    <w:rsid w:val="00436F25"/>
    <w:rsid w:val="004440E2"/>
    <w:rsid w:val="00452C5A"/>
    <w:rsid w:val="00456ABF"/>
    <w:rsid w:val="0046041B"/>
    <w:rsid w:val="00460675"/>
    <w:rsid w:val="00466C62"/>
    <w:rsid w:val="004701ED"/>
    <w:rsid w:val="004709A6"/>
    <w:rsid w:val="004938EE"/>
    <w:rsid w:val="00497D99"/>
    <w:rsid w:val="004B0DAA"/>
    <w:rsid w:val="004B7025"/>
    <w:rsid w:val="004C3CDA"/>
    <w:rsid w:val="004C5678"/>
    <w:rsid w:val="004D2794"/>
    <w:rsid w:val="004E1AAA"/>
    <w:rsid w:val="004E71D4"/>
    <w:rsid w:val="004F0B10"/>
    <w:rsid w:val="004F52BC"/>
    <w:rsid w:val="00502779"/>
    <w:rsid w:val="00503950"/>
    <w:rsid w:val="005051C9"/>
    <w:rsid w:val="00510A91"/>
    <w:rsid w:val="00511BC0"/>
    <w:rsid w:val="00511D7A"/>
    <w:rsid w:val="00515B04"/>
    <w:rsid w:val="005171FB"/>
    <w:rsid w:val="00525516"/>
    <w:rsid w:val="0053415B"/>
    <w:rsid w:val="00537282"/>
    <w:rsid w:val="005412FC"/>
    <w:rsid w:val="00544D8A"/>
    <w:rsid w:val="0055569C"/>
    <w:rsid w:val="0056007D"/>
    <w:rsid w:val="00563A98"/>
    <w:rsid w:val="005701E9"/>
    <w:rsid w:val="00571086"/>
    <w:rsid w:val="0058790D"/>
    <w:rsid w:val="00590D22"/>
    <w:rsid w:val="005A6A63"/>
    <w:rsid w:val="005C1D57"/>
    <w:rsid w:val="005C2FAD"/>
    <w:rsid w:val="005D016B"/>
    <w:rsid w:val="005D6ADA"/>
    <w:rsid w:val="005E0CAA"/>
    <w:rsid w:val="005E73E2"/>
    <w:rsid w:val="00600B63"/>
    <w:rsid w:val="00602EA3"/>
    <w:rsid w:val="00607182"/>
    <w:rsid w:val="00610246"/>
    <w:rsid w:val="00620E4B"/>
    <w:rsid w:val="006217A6"/>
    <w:rsid w:val="00623434"/>
    <w:rsid w:val="006362B5"/>
    <w:rsid w:val="00644EC6"/>
    <w:rsid w:val="006470DF"/>
    <w:rsid w:val="0065653B"/>
    <w:rsid w:val="00674CC8"/>
    <w:rsid w:val="00681EDC"/>
    <w:rsid w:val="00687D51"/>
    <w:rsid w:val="00696F88"/>
    <w:rsid w:val="006C0350"/>
    <w:rsid w:val="006C12CD"/>
    <w:rsid w:val="006D022E"/>
    <w:rsid w:val="006D565C"/>
    <w:rsid w:val="006D61A7"/>
    <w:rsid w:val="006E3624"/>
    <w:rsid w:val="006E6B1E"/>
    <w:rsid w:val="006F0FBA"/>
    <w:rsid w:val="006F24E1"/>
    <w:rsid w:val="006F4C7E"/>
    <w:rsid w:val="006F5690"/>
    <w:rsid w:val="006F7944"/>
    <w:rsid w:val="00703ECE"/>
    <w:rsid w:val="007147EF"/>
    <w:rsid w:val="00714BE4"/>
    <w:rsid w:val="00716855"/>
    <w:rsid w:val="007246AE"/>
    <w:rsid w:val="00731A06"/>
    <w:rsid w:val="00733768"/>
    <w:rsid w:val="007404F0"/>
    <w:rsid w:val="007404F8"/>
    <w:rsid w:val="00745FE5"/>
    <w:rsid w:val="007531E0"/>
    <w:rsid w:val="007601E6"/>
    <w:rsid w:val="007627EB"/>
    <w:rsid w:val="00763C80"/>
    <w:rsid w:val="00777C40"/>
    <w:rsid w:val="00783DFD"/>
    <w:rsid w:val="007864C9"/>
    <w:rsid w:val="007963F1"/>
    <w:rsid w:val="007A0867"/>
    <w:rsid w:val="007A2467"/>
    <w:rsid w:val="007A4A1C"/>
    <w:rsid w:val="007A771A"/>
    <w:rsid w:val="007B2514"/>
    <w:rsid w:val="007B4E79"/>
    <w:rsid w:val="007B530D"/>
    <w:rsid w:val="007C1029"/>
    <w:rsid w:val="007C25F4"/>
    <w:rsid w:val="007C7E85"/>
    <w:rsid w:val="007D00A4"/>
    <w:rsid w:val="007D18CE"/>
    <w:rsid w:val="007D55B6"/>
    <w:rsid w:val="007E54E3"/>
    <w:rsid w:val="007E6C64"/>
    <w:rsid w:val="007E6D86"/>
    <w:rsid w:val="007F15DF"/>
    <w:rsid w:val="007F4D99"/>
    <w:rsid w:val="007F6A16"/>
    <w:rsid w:val="00805BE9"/>
    <w:rsid w:val="00815707"/>
    <w:rsid w:val="008208A7"/>
    <w:rsid w:val="00820E85"/>
    <w:rsid w:val="00831ADC"/>
    <w:rsid w:val="008344BA"/>
    <w:rsid w:val="00843EB6"/>
    <w:rsid w:val="00847699"/>
    <w:rsid w:val="0085056F"/>
    <w:rsid w:val="00852B4D"/>
    <w:rsid w:val="00867685"/>
    <w:rsid w:val="00871B4F"/>
    <w:rsid w:val="00874067"/>
    <w:rsid w:val="00874586"/>
    <w:rsid w:val="0087530E"/>
    <w:rsid w:val="008802DC"/>
    <w:rsid w:val="00882A44"/>
    <w:rsid w:val="00894EEE"/>
    <w:rsid w:val="008A3DEF"/>
    <w:rsid w:val="008A52D5"/>
    <w:rsid w:val="008A55F4"/>
    <w:rsid w:val="008A702C"/>
    <w:rsid w:val="008A7571"/>
    <w:rsid w:val="008B2D40"/>
    <w:rsid w:val="008C04F2"/>
    <w:rsid w:val="008C7868"/>
    <w:rsid w:val="008D06EC"/>
    <w:rsid w:val="008D4F20"/>
    <w:rsid w:val="008D57CC"/>
    <w:rsid w:val="008D6E7B"/>
    <w:rsid w:val="008E5623"/>
    <w:rsid w:val="008E619C"/>
    <w:rsid w:val="008F0D42"/>
    <w:rsid w:val="008F7F61"/>
    <w:rsid w:val="0090161F"/>
    <w:rsid w:val="00906DF0"/>
    <w:rsid w:val="0091073B"/>
    <w:rsid w:val="00920B10"/>
    <w:rsid w:val="009218C5"/>
    <w:rsid w:val="00922BE5"/>
    <w:rsid w:val="00923EBD"/>
    <w:rsid w:val="00925026"/>
    <w:rsid w:val="009309D4"/>
    <w:rsid w:val="00931063"/>
    <w:rsid w:val="00932990"/>
    <w:rsid w:val="00933ED0"/>
    <w:rsid w:val="00937F01"/>
    <w:rsid w:val="00966676"/>
    <w:rsid w:val="00970DF7"/>
    <w:rsid w:val="00971435"/>
    <w:rsid w:val="00974F2A"/>
    <w:rsid w:val="00976B26"/>
    <w:rsid w:val="009822E9"/>
    <w:rsid w:val="009926D2"/>
    <w:rsid w:val="0099399B"/>
    <w:rsid w:val="009A20C7"/>
    <w:rsid w:val="009A5354"/>
    <w:rsid w:val="009C25DD"/>
    <w:rsid w:val="009C40CA"/>
    <w:rsid w:val="009C477E"/>
    <w:rsid w:val="009C5941"/>
    <w:rsid w:val="009F030D"/>
    <w:rsid w:val="00A0421C"/>
    <w:rsid w:val="00A2502D"/>
    <w:rsid w:val="00A25D55"/>
    <w:rsid w:val="00A31832"/>
    <w:rsid w:val="00A32FEB"/>
    <w:rsid w:val="00A3303E"/>
    <w:rsid w:val="00A44371"/>
    <w:rsid w:val="00A6018A"/>
    <w:rsid w:val="00A669C8"/>
    <w:rsid w:val="00A74A96"/>
    <w:rsid w:val="00A778C4"/>
    <w:rsid w:val="00A829E2"/>
    <w:rsid w:val="00A83DD1"/>
    <w:rsid w:val="00AC652E"/>
    <w:rsid w:val="00AD0565"/>
    <w:rsid w:val="00AE110B"/>
    <w:rsid w:val="00AE5615"/>
    <w:rsid w:val="00AF49F3"/>
    <w:rsid w:val="00AF4E34"/>
    <w:rsid w:val="00B04029"/>
    <w:rsid w:val="00B04FA6"/>
    <w:rsid w:val="00B327BD"/>
    <w:rsid w:val="00B402B2"/>
    <w:rsid w:val="00B4357B"/>
    <w:rsid w:val="00B43FA3"/>
    <w:rsid w:val="00B50E4F"/>
    <w:rsid w:val="00B64D89"/>
    <w:rsid w:val="00B76FF9"/>
    <w:rsid w:val="00B771FF"/>
    <w:rsid w:val="00B86601"/>
    <w:rsid w:val="00B945C4"/>
    <w:rsid w:val="00BA3C83"/>
    <w:rsid w:val="00BA67B3"/>
    <w:rsid w:val="00BA6CD8"/>
    <w:rsid w:val="00BB3DB0"/>
    <w:rsid w:val="00BB5405"/>
    <w:rsid w:val="00BC431A"/>
    <w:rsid w:val="00BD0D4C"/>
    <w:rsid w:val="00BD174F"/>
    <w:rsid w:val="00BD4897"/>
    <w:rsid w:val="00BD6E51"/>
    <w:rsid w:val="00BE0BFD"/>
    <w:rsid w:val="00BE61B0"/>
    <w:rsid w:val="00BF06CB"/>
    <w:rsid w:val="00BF138B"/>
    <w:rsid w:val="00BF1E21"/>
    <w:rsid w:val="00BF7FC4"/>
    <w:rsid w:val="00C010F8"/>
    <w:rsid w:val="00C02751"/>
    <w:rsid w:val="00C03A66"/>
    <w:rsid w:val="00C1097F"/>
    <w:rsid w:val="00C109C9"/>
    <w:rsid w:val="00C16458"/>
    <w:rsid w:val="00C16944"/>
    <w:rsid w:val="00C33D18"/>
    <w:rsid w:val="00C345A4"/>
    <w:rsid w:val="00C45C13"/>
    <w:rsid w:val="00C50A62"/>
    <w:rsid w:val="00C54D7E"/>
    <w:rsid w:val="00C55639"/>
    <w:rsid w:val="00C6387A"/>
    <w:rsid w:val="00C64E1A"/>
    <w:rsid w:val="00C65C57"/>
    <w:rsid w:val="00C664CF"/>
    <w:rsid w:val="00C73AF1"/>
    <w:rsid w:val="00C740F9"/>
    <w:rsid w:val="00C8275F"/>
    <w:rsid w:val="00C85862"/>
    <w:rsid w:val="00C870B3"/>
    <w:rsid w:val="00C93881"/>
    <w:rsid w:val="00CA0F6D"/>
    <w:rsid w:val="00CC6914"/>
    <w:rsid w:val="00CC6D51"/>
    <w:rsid w:val="00CC76C8"/>
    <w:rsid w:val="00CE64F8"/>
    <w:rsid w:val="00CE6A81"/>
    <w:rsid w:val="00CF0AA7"/>
    <w:rsid w:val="00CF178A"/>
    <w:rsid w:val="00CF3492"/>
    <w:rsid w:val="00D02E8D"/>
    <w:rsid w:val="00D10808"/>
    <w:rsid w:val="00D11EA5"/>
    <w:rsid w:val="00D13534"/>
    <w:rsid w:val="00D260E0"/>
    <w:rsid w:val="00D32F57"/>
    <w:rsid w:val="00D34986"/>
    <w:rsid w:val="00D35099"/>
    <w:rsid w:val="00D350E3"/>
    <w:rsid w:val="00D420EC"/>
    <w:rsid w:val="00D4345B"/>
    <w:rsid w:val="00D465AF"/>
    <w:rsid w:val="00D465C3"/>
    <w:rsid w:val="00D51ABB"/>
    <w:rsid w:val="00D530EE"/>
    <w:rsid w:val="00D61788"/>
    <w:rsid w:val="00D73811"/>
    <w:rsid w:val="00D73B00"/>
    <w:rsid w:val="00D764F3"/>
    <w:rsid w:val="00D8646C"/>
    <w:rsid w:val="00D90962"/>
    <w:rsid w:val="00D9355B"/>
    <w:rsid w:val="00DA4524"/>
    <w:rsid w:val="00DB0293"/>
    <w:rsid w:val="00DC2EC2"/>
    <w:rsid w:val="00DC3364"/>
    <w:rsid w:val="00DC3CB9"/>
    <w:rsid w:val="00DC7AF2"/>
    <w:rsid w:val="00DE61F3"/>
    <w:rsid w:val="00DF1CA3"/>
    <w:rsid w:val="00DF310C"/>
    <w:rsid w:val="00E04F11"/>
    <w:rsid w:val="00E06D6A"/>
    <w:rsid w:val="00E12754"/>
    <w:rsid w:val="00E12F36"/>
    <w:rsid w:val="00E13377"/>
    <w:rsid w:val="00E14EB5"/>
    <w:rsid w:val="00E21EA4"/>
    <w:rsid w:val="00E31C8D"/>
    <w:rsid w:val="00E5244D"/>
    <w:rsid w:val="00E564D5"/>
    <w:rsid w:val="00E7146E"/>
    <w:rsid w:val="00E7243C"/>
    <w:rsid w:val="00E74045"/>
    <w:rsid w:val="00E74AC0"/>
    <w:rsid w:val="00E82444"/>
    <w:rsid w:val="00E87AFA"/>
    <w:rsid w:val="00E9202A"/>
    <w:rsid w:val="00E95B8B"/>
    <w:rsid w:val="00EA5F01"/>
    <w:rsid w:val="00EB66DC"/>
    <w:rsid w:val="00EC7D1B"/>
    <w:rsid w:val="00ED5907"/>
    <w:rsid w:val="00EF340C"/>
    <w:rsid w:val="00EF7CB7"/>
    <w:rsid w:val="00F0122A"/>
    <w:rsid w:val="00F070CD"/>
    <w:rsid w:val="00F14632"/>
    <w:rsid w:val="00F16F4A"/>
    <w:rsid w:val="00F17126"/>
    <w:rsid w:val="00F232F9"/>
    <w:rsid w:val="00F26889"/>
    <w:rsid w:val="00F270FA"/>
    <w:rsid w:val="00F2739B"/>
    <w:rsid w:val="00F35789"/>
    <w:rsid w:val="00F44732"/>
    <w:rsid w:val="00F47063"/>
    <w:rsid w:val="00F525C8"/>
    <w:rsid w:val="00F53A8B"/>
    <w:rsid w:val="00F64034"/>
    <w:rsid w:val="00F73F13"/>
    <w:rsid w:val="00F82AB1"/>
    <w:rsid w:val="00F853CD"/>
    <w:rsid w:val="00F8716B"/>
    <w:rsid w:val="00F97756"/>
    <w:rsid w:val="00FA031B"/>
    <w:rsid w:val="00FA4F60"/>
    <w:rsid w:val="00FB0A92"/>
    <w:rsid w:val="00FB2531"/>
    <w:rsid w:val="00FB3223"/>
    <w:rsid w:val="00FC1044"/>
    <w:rsid w:val="00FC11B4"/>
    <w:rsid w:val="00FC27B2"/>
    <w:rsid w:val="00FC4B43"/>
    <w:rsid w:val="00FE635F"/>
    <w:rsid w:val="00FF300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85"/>
    <w:rPr>
      <w:lang w:val="en-GB"/>
    </w:rPr>
  </w:style>
  <w:style w:type="paragraph" w:styleId="Heading7">
    <w:name w:val="heading 7"/>
    <w:basedOn w:val="Normal"/>
    <w:next w:val="Normal"/>
    <w:link w:val="Heading7Char"/>
    <w:uiPriority w:val="9"/>
    <w:unhideWhenUsed/>
    <w:qFormat/>
    <w:rsid w:val="008F7F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2BC"/>
    <w:rPr>
      <w:sz w:val="20"/>
      <w:szCs w:val="20"/>
      <w:lang w:val="en-GB"/>
    </w:rPr>
  </w:style>
  <w:style w:type="character" w:styleId="FootnoteReference">
    <w:name w:val="footnote reference"/>
    <w:basedOn w:val="DefaultParagraphFont"/>
    <w:uiPriority w:val="99"/>
    <w:semiHidden/>
    <w:unhideWhenUsed/>
    <w:rsid w:val="004F52BC"/>
    <w:rPr>
      <w:vertAlign w:val="superscript"/>
    </w:rPr>
  </w:style>
  <w:style w:type="character" w:styleId="Hyperlink">
    <w:name w:val="Hyperlink"/>
    <w:basedOn w:val="DefaultParagraphFont"/>
    <w:uiPriority w:val="99"/>
    <w:unhideWhenUsed/>
    <w:rsid w:val="004F52BC"/>
    <w:rPr>
      <w:color w:val="0000FF" w:themeColor="hyperlink"/>
      <w:u w:val="single"/>
    </w:rPr>
  </w:style>
  <w:style w:type="paragraph" w:styleId="BalloonText">
    <w:name w:val="Balloon Text"/>
    <w:basedOn w:val="Normal"/>
    <w:link w:val="BalloonTextChar"/>
    <w:uiPriority w:val="99"/>
    <w:semiHidden/>
    <w:unhideWhenUsed/>
    <w:rsid w:val="00D9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62"/>
    <w:rPr>
      <w:rFonts w:ascii="Segoe UI" w:hAnsi="Segoe UI" w:cs="Segoe UI"/>
      <w:sz w:val="18"/>
      <w:szCs w:val="18"/>
      <w:lang w:val="en-GB"/>
    </w:rPr>
  </w:style>
  <w:style w:type="character" w:styleId="CommentReference">
    <w:name w:val="annotation reference"/>
    <w:basedOn w:val="DefaultParagraphFont"/>
    <w:uiPriority w:val="99"/>
    <w:semiHidden/>
    <w:unhideWhenUsed/>
    <w:rsid w:val="000115C7"/>
    <w:rPr>
      <w:sz w:val="16"/>
      <w:szCs w:val="16"/>
    </w:rPr>
  </w:style>
  <w:style w:type="paragraph" w:customStyle="1" w:styleId="CommentText1">
    <w:name w:val="Comment Text1"/>
    <w:basedOn w:val="Normal"/>
    <w:next w:val="CommentText"/>
    <w:link w:val="CommentTextChar"/>
    <w:uiPriority w:val="99"/>
    <w:semiHidden/>
    <w:unhideWhenUsed/>
    <w:rsid w:val="000115C7"/>
    <w:pPr>
      <w:spacing w:after="160" w:line="240" w:lineRule="auto"/>
    </w:pPr>
    <w:rPr>
      <w:sz w:val="20"/>
      <w:szCs w:val="20"/>
      <w:lang w:val="nb-NO"/>
    </w:rPr>
  </w:style>
  <w:style w:type="character" w:customStyle="1" w:styleId="CommentTextChar">
    <w:name w:val="Comment Text Char"/>
    <w:basedOn w:val="DefaultParagraphFont"/>
    <w:link w:val="CommentText1"/>
    <w:uiPriority w:val="99"/>
    <w:semiHidden/>
    <w:rsid w:val="000115C7"/>
    <w:rPr>
      <w:sz w:val="20"/>
      <w:szCs w:val="20"/>
    </w:rPr>
  </w:style>
  <w:style w:type="paragraph" w:styleId="CommentText">
    <w:name w:val="annotation text"/>
    <w:basedOn w:val="Normal"/>
    <w:link w:val="CommentTextChar1"/>
    <w:uiPriority w:val="99"/>
    <w:semiHidden/>
    <w:unhideWhenUsed/>
    <w:rsid w:val="000115C7"/>
    <w:pPr>
      <w:spacing w:line="240" w:lineRule="auto"/>
    </w:pPr>
    <w:rPr>
      <w:sz w:val="20"/>
      <w:szCs w:val="20"/>
    </w:rPr>
  </w:style>
  <w:style w:type="character" w:customStyle="1" w:styleId="CommentTextChar1">
    <w:name w:val="Comment Text Char1"/>
    <w:basedOn w:val="DefaultParagraphFont"/>
    <w:link w:val="CommentText"/>
    <w:uiPriority w:val="99"/>
    <w:semiHidden/>
    <w:rsid w:val="000115C7"/>
    <w:rPr>
      <w:sz w:val="20"/>
      <w:szCs w:val="20"/>
      <w:lang w:val="en-GB"/>
    </w:rPr>
  </w:style>
  <w:style w:type="paragraph" w:styleId="ListParagraph">
    <w:name w:val="List Paragraph"/>
    <w:basedOn w:val="Normal"/>
    <w:uiPriority w:val="34"/>
    <w:qFormat/>
    <w:rsid w:val="003431CC"/>
    <w:pPr>
      <w:ind w:left="720"/>
      <w:contextualSpacing/>
    </w:pPr>
  </w:style>
  <w:style w:type="paragraph" w:styleId="CommentSubject">
    <w:name w:val="annotation subject"/>
    <w:basedOn w:val="CommentText"/>
    <w:next w:val="CommentText"/>
    <w:link w:val="CommentSubjectChar"/>
    <w:uiPriority w:val="99"/>
    <w:semiHidden/>
    <w:unhideWhenUsed/>
    <w:rsid w:val="000114FA"/>
    <w:rPr>
      <w:b/>
      <w:bCs/>
    </w:rPr>
  </w:style>
  <w:style w:type="character" w:customStyle="1" w:styleId="CommentSubjectChar">
    <w:name w:val="Comment Subject Char"/>
    <w:basedOn w:val="CommentTextChar1"/>
    <w:link w:val="CommentSubject"/>
    <w:uiPriority w:val="99"/>
    <w:semiHidden/>
    <w:rsid w:val="000114FA"/>
    <w:rPr>
      <w:b/>
      <w:bCs/>
      <w:sz w:val="20"/>
      <w:szCs w:val="20"/>
      <w:lang w:val="en-GB"/>
    </w:rPr>
  </w:style>
  <w:style w:type="paragraph" w:styleId="Revision">
    <w:name w:val="Revision"/>
    <w:hidden/>
    <w:uiPriority w:val="99"/>
    <w:semiHidden/>
    <w:rsid w:val="00D35099"/>
    <w:pPr>
      <w:spacing w:after="0" w:line="240" w:lineRule="auto"/>
    </w:pPr>
    <w:rPr>
      <w:lang w:val="en-GB"/>
    </w:rPr>
  </w:style>
  <w:style w:type="character" w:styleId="FollowedHyperlink">
    <w:name w:val="FollowedHyperlink"/>
    <w:basedOn w:val="DefaultParagraphFont"/>
    <w:uiPriority w:val="99"/>
    <w:semiHidden/>
    <w:unhideWhenUsed/>
    <w:rsid w:val="007D18CE"/>
    <w:rPr>
      <w:color w:val="800080" w:themeColor="followedHyperlink"/>
      <w:u w:val="single"/>
    </w:rPr>
  </w:style>
  <w:style w:type="paragraph" w:styleId="Header">
    <w:name w:val="header"/>
    <w:basedOn w:val="Normal"/>
    <w:link w:val="HeaderChar"/>
    <w:uiPriority w:val="99"/>
    <w:unhideWhenUsed/>
    <w:rsid w:val="008A55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5F4"/>
    <w:rPr>
      <w:lang w:val="en-GB"/>
    </w:rPr>
  </w:style>
  <w:style w:type="paragraph" w:styleId="Footer">
    <w:name w:val="footer"/>
    <w:basedOn w:val="Normal"/>
    <w:link w:val="FooterChar"/>
    <w:uiPriority w:val="99"/>
    <w:unhideWhenUsed/>
    <w:rsid w:val="008A5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5F4"/>
    <w:rPr>
      <w:lang w:val="en-GB"/>
    </w:rPr>
  </w:style>
  <w:style w:type="character" w:customStyle="1" w:styleId="Heading7Char">
    <w:name w:val="Heading 7 Char"/>
    <w:basedOn w:val="DefaultParagraphFont"/>
    <w:link w:val="Heading7"/>
    <w:uiPriority w:val="9"/>
    <w:rsid w:val="008F7F61"/>
    <w:rPr>
      <w:rFonts w:asciiTheme="majorHAnsi" w:eastAsiaTheme="majorEastAsia" w:hAnsiTheme="majorHAnsi" w:cstheme="majorBidi"/>
      <w:i/>
      <w:iCs/>
      <w:color w:val="243F60" w:themeColor="accent1" w:themeShade="7F"/>
      <w:lang w:val="en-GB"/>
    </w:rPr>
  </w:style>
  <w:style w:type="character" w:customStyle="1" w:styleId="UnresolvedMention1">
    <w:name w:val="Unresolved Mention1"/>
    <w:basedOn w:val="DefaultParagraphFont"/>
    <w:uiPriority w:val="99"/>
    <w:semiHidden/>
    <w:unhideWhenUsed/>
    <w:rsid w:val="00DC7AF2"/>
    <w:rPr>
      <w:color w:val="605E5C"/>
      <w:shd w:val="clear" w:color="auto" w:fill="E1DFDD"/>
    </w:rPr>
  </w:style>
  <w:style w:type="paragraph" w:customStyle="1" w:styleId="ex">
    <w:name w:val="ex"/>
    <w:basedOn w:val="Normal"/>
    <w:rsid w:val="00B04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40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85"/>
    <w:rPr>
      <w:lang w:val="en-GB"/>
    </w:rPr>
  </w:style>
  <w:style w:type="paragraph" w:styleId="Heading7">
    <w:name w:val="heading 7"/>
    <w:basedOn w:val="Normal"/>
    <w:next w:val="Normal"/>
    <w:link w:val="Heading7Char"/>
    <w:uiPriority w:val="9"/>
    <w:unhideWhenUsed/>
    <w:qFormat/>
    <w:rsid w:val="008F7F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2BC"/>
    <w:rPr>
      <w:sz w:val="20"/>
      <w:szCs w:val="20"/>
      <w:lang w:val="en-GB"/>
    </w:rPr>
  </w:style>
  <w:style w:type="character" w:styleId="FootnoteReference">
    <w:name w:val="footnote reference"/>
    <w:basedOn w:val="DefaultParagraphFont"/>
    <w:uiPriority w:val="99"/>
    <w:semiHidden/>
    <w:unhideWhenUsed/>
    <w:rsid w:val="004F52BC"/>
    <w:rPr>
      <w:vertAlign w:val="superscript"/>
    </w:rPr>
  </w:style>
  <w:style w:type="character" w:styleId="Hyperlink">
    <w:name w:val="Hyperlink"/>
    <w:basedOn w:val="DefaultParagraphFont"/>
    <w:uiPriority w:val="99"/>
    <w:unhideWhenUsed/>
    <w:rsid w:val="004F52BC"/>
    <w:rPr>
      <w:color w:val="0000FF" w:themeColor="hyperlink"/>
      <w:u w:val="single"/>
    </w:rPr>
  </w:style>
  <w:style w:type="paragraph" w:styleId="BalloonText">
    <w:name w:val="Balloon Text"/>
    <w:basedOn w:val="Normal"/>
    <w:link w:val="BalloonTextChar"/>
    <w:uiPriority w:val="99"/>
    <w:semiHidden/>
    <w:unhideWhenUsed/>
    <w:rsid w:val="00D9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62"/>
    <w:rPr>
      <w:rFonts w:ascii="Segoe UI" w:hAnsi="Segoe UI" w:cs="Segoe UI"/>
      <w:sz w:val="18"/>
      <w:szCs w:val="18"/>
      <w:lang w:val="en-GB"/>
    </w:rPr>
  </w:style>
  <w:style w:type="character" w:styleId="CommentReference">
    <w:name w:val="annotation reference"/>
    <w:basedOn w:val="DefaultParagraphFont"/>
    <w:uiPriority w:val="99"/>
    <w:semiHidden/>
    <w:unhideWhenUsed/>
    <w:rsid w:val="000115C7"/>
    <w:rPr>
      <w:sz w:val="16"/>
      <w:szCs w:val="16"/>
    </w:rPr>
  </w:style>
  <w:style w:type="paragraph" w:customStyle="1" w:styleId="CommentText1">
    <w:name w:val="Comment Text1"/>
    <w:basedOn w:val="Normal"/>
    <w:next w:val="CommentText"/>
    <w:link w:val="CommentTextChar"/>
    <w:uiPriority w:val="99"/>
    <w:semiHidden/>
    <w:unhideWhenUsed/>
    <w:rsid w:val="000115C7"/>
    <w:pPr>
      <w:spacing w:after="160" w:line="240" w:lineRule="auto"/>
    </w:pPr>
    <w:rPr>
      <w:sz w:val="20"/>
      <w:szCs w:val="20"/>
      <w:lang w:val="nb-NO"/>
    </w:rPr>
  </w:style>
  <w:style w:type="character" w:customStyle="1" w:styleId="CommentTextChar">
    <w:name w:val="Comment Text Char"/>
    <w:basedOn w:val="DefaultParagraphFont"/>
    <w:link w:val="CommentText1"/>
    <w:uiPriority w:val="99"/>
    <w:semiHidden/>
    <w:rsid w:val="000115C7"/>
    <w:rPr>
      <w:sz w:val="20"/>
      <w:szCs w:val="20"/>
    </w:rPr>
  </w:style>
  <w:style w:type="paragraph" w:styleId="CommentText">
    <w:name w:val="annotation text"/>
    <w:basedOn w:val="Normal"/>
    <w:link w:val="CommentTextChar1"/>
    <w:uiPriority w:val="99"/>
    <w:semiHidden/>
    <w:unhideWhenUsed/>
    <w:rsid w:val="000115C7"/>
    <w:pPr>
      <w:spacing w:line="240" w:lineRule="auto"/>
    </w:pPr>
    <w:rPr>
      <w:sz w:val="20"/>
      <w:szCs w:val="20"/>
    </w:rPr>
  </w:style>
  <w:style w:type="character" w:customStyle="1" w:styleId="CommentTextChar1">
    <w:name w:val="Comment Text Char1"/>
    <w:basedOn w:val="DefaultParagraphFont"/>
    <w:link w:val="CommentText"/>
    <w:uiPriority w:val="99"/>
    <w:semiHidden/>
    <w:rsid w:val="000115C7"/>
    <w:rPr>
      <w:sz w:val="20"/>
      <w:szCs w:val="20"/>
      <w:lang w:val="en-GB"/>
    </w:rPr>
  </w:style>
  <w:style w:type="paragraph" w:styleId="ListParagraph">
    <w:name w:val="List Paragraph"/>
    <w:basedOn w:val="Normal"/>
    <w:uiPriority w:val="34"/>
    <w:qFormat/>
    <w:rsid w:val="003431CC"/>
    <w:pPr>
      <w:ind w:left="720"/>
      <w:contextualSpacing/>
    </w:pPr>
  </w:style>
  <w:style w:type="paragraph" w:styleId="CommentSubject">
    <w:name w:val="annotation subject"/>
    <w:basedOn w:val="CommentText"/>
    <w:next w:val="CommentText"/>
    <w:link w:val="CommentSubjectChar"/>
    <w:uiPriority w:val="99"/>
    <w:semiHidden/>
    <w:unhideWhenUsed/>
    <w:rsid w:val="000114FA"/>
    <w:rPr>
      <w:b/>
      <w:bCs/>
    </w:rPr>
  </w:style>
  <w:style w:type="character" w:customStyle="1" w:styleId="CommentSubjectChar">
    <w:name w:val="Comment Subject Char"/>
    <w:basedOn w:val="CommentTextChar1"/>
    <w:link w:val="CommentSubject"/>
    <w:uiPriority w:val="99"/>
    <w:semiHidden/>
    <w:rsid w:val="000114FA"/>
    <w:rPr>
      <w:b/>
      <w:bCs/>
      <w:sz w:val="20"/>
      <w:szCs w:val="20"/>
      <w:lang w:val="en-GB"/>
    </w:rPr>
  </w:style>
  <w:style w:type="paragraph" w:styleId="Revision">
    <w:name w:val="Revision"/>
    <w:hidden/>
    <w:uiPriority w:val="99"/>
    <w:semiHidden/>
    <w:rsid w:val="00D35099"/>
    <w:pPr>
      <w:spacing w:after="0" w:line="240" w:lineRule="auto"/>
    </w:pPr>
    <w:rPr>
      <w:lang w:val="en-GB"/>
    </w:rPr>
  </w:style>
  <w:style w:type="character" w:styleId="FollowedHyperlink">
    <w:name w:val="FollowedHyperlink"/>
    <w:basedOn w:val="DefaultParagraphFont"/>
    <w:uiPriority w:val="99"/>
    <w:semiHidden/>
    <w:unhideWhenUsed/>
    <w:rsid w:val="007D18CE"/>
    <w:rPr>
      <w:color w:val="800080" w:themeColor="followedHyperlink"/>
      <w:u w:val="single"/>
    </w:rPr>
  </w:style>
  <w:style w:type="paragraph" w:styleId="Header">
    <w:name w:val="header"/>
    <w:basedOn w:val="Normal"/>
    <w:link w:val="HeaderChar"/>
    <w:uiPriority w:val="99"/>
    <w:unhideWhenUsed/>
    <w:rsid w:val="008A55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5F4"/>
    <w:rPr>
      <w:lang w:val="en-GB"/>
    </w:rPr>
  </w:style>
  <w:style w:type="paragraph" w:styleId="Footer">
    <w:name w:val="footer"/>
    <w:basedOn w:val="Normal"/>
    <w:link w:val="FooterChar"/>
    <w:uiPriority w:val="99"/>
    <w:unhideWhenUsed/>
    <w:rsid w:val="008A5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5F4"/>
    <w:rPr>
      <w:lang w:val="en-GB"/>
    </w:rPr>
  </w:style>
  <w:style w:type="character" w:customStyle="1" w:styleId="Heading7Char">
    <w:name w:val="Heading 7 Char"/>
    <w:basedOn w:val="DefaultParagraphFont"/>
    <w:link w:val="Heading7"/>
    <w:uiPriority w:val="9"/>
    <w:rsid w:val="008F7F61"/>
    <w:rPr>
      <w:rFonts w:asciiTheme="majorHAnsi" w:eastAsiaTheme="majorEastAsia" w:hAnsiTheme="majorHAnsi" w:cstheme="majorBidi"/>
      <w:i/>
      <w:iCs/>
      <w:color w:val="243F60" w:themeColor="accent1" w:themeShade="7F"/>
      <w:lang w:val="en-GB"/>
    </w:rPr>
  </w:style>
  <w:style w:type="character" w:customStyle="1" w:styleId="UnresolvedMention1">
    <w:name w:val="Unresolved Mention1"/>
    <w:basedOn w:val="DefaultParagraphFont"/>
    <w:uiPriority w:val="99"/>
    <w:semiHidden/>
    <w:unhideWhenUsed/>
    <w:rsid w:val="00DC7AF2"/>
    <w:rPr>
      <w:color w:val="605E5C"/>
      <w:shd w:val="clear" w:color="auto" w:fill="E1DFDD"/>
    </w:rPr>
  </w:style>
  <w:style w:type="paragraph" w:customStyle="1" w:styleId="ex">
    <w:name w:val="ex"/>
    <w:basedOn w:val="Normal"/>
    <w:rsid w:val="00B040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4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1415">
      <w:bodyDiv w:val="1"/>
      <w:marLeft w:val="0"/>
      <w:marRight w:val="0"/>
      <w:marTop w:val="0"/>
      <w:marBottom w:val="0"/>
      <w:divBdr>
        <w:top w:val="none" w:sz="0" w:space="0" w:color="auto"/>
        <w:left w:val="none" w:sz="0" w:space="0" w:color="auto"/>
        <w:bottom w:val="none" w:sz="0" w:space="0" w:color="auto"/>
        <w:right w:val="none" w:sz="0" w:space="0" w:color="auto"/>
      </w:divBdr>
    </w:div>
    <w:div w:id="9869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drik.typepad.com/dani_rodriks_weblog/2007/06/the-inescapable.htm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winternet.org/2016/10/04/public-views-on-climate-change-and-climate-scient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environment/climate-financing-momentum-build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late.com/articles/business/the_dismal_science/1999/10/o_canada.html?via=gdpr-consen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sclimatealliance.org" TargetMode="External"/><Relationship Id="rId14" Type="http://schemas.openxmlformats.org/officeDocument/2006/relationships/hyperlink" Target="https://www.wri.org/blog/2017/04/interactive-chart-explains-worlds-top-10-emitt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imatechangenews.com/2018/06/20/eu-will-increase-pledge-paris-agreement-says-canete/" TargetMode="External"/><Relationship Id="rId2" Type="http://schemas.openxmlformats.org/officeDocument/2006/relationships/hyperlink" Target="https://qz.com/1175308/germany-is-abandoning-its-climate-goals-for-2020-what-happens-next/" TargetMode="External"/><Relationship Id="rId1" Type="http://schemas.openxmlformats.org/officeDocument/2006/relationships/hyperlink" Target="https://www.nobelprize.org/prizes/economics/1999/mundell/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4DAD-05EF-4266-8838-AD116241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8510</Words>
  <Characters>45107</Characters>
  <Application>Microsoft Office Word</Application>
  <DocSecurity>0</DocSecurity>
  <Lines>375</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Hovi</dc:creator>
  <cp:lastModifiedBy>stvjh1_adm</cp:lastModifiedBy>
  <cp:revision>2</cp:revision>
  <cp:lastPrinted>2018-09-26T11:13:00Z</cp:lastPrinted>
  <dcterms:created xsi:type="dcterms:W3CDTF">2018-09-28T08:22:00Z</dcterms:created>
  <dcterms:modified xsi:type="dcterms:W3CDTF">2018-09-28T08:22:00Z</dcterms:modified>
</cp:coreProperties>
</file>